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0A225E2" w14:textId="77777777" w:rsidR="00EE6CAC" w:rsidRDefault="003C11E5">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8</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R1-2</w:t>
      </w:r>
      <w:bookmarkEnd w:id="0"/>
      <w:r>
        <w:rPr>
          <w:rFonts w:hint="eastAsia"/>
          <w:b/>
          <w:sz w:val="24"/>
          <w:szCs w:val="24"/>
        </w:rPr>
        <w:t>201130</w:t>
      </w:r>
    </w:p>
    <w:p w14:paraId="77941CF3" w14:textId="77777777" w:rsidR="00EE6CAC" w:rsidRDefault="003C11E5">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Feb</w:t>
      </w:r>
      <w:r>
        <w:rPr>
          <w:b/>
          <w:sz w:val="24"/>
          <w:szCs w:val="24"/>
        </w:rPr>
        <w:t>.</w:t>
      </w:r>
      <w:r>
        <w:rPr>
          <w:rFonts w:eastAsia="Batang"/>
          <w:b/>
          <w:sz w:val="24"/>
          <w:szCs w:val="24"/>
          <w:lang w:eastAsia="ja-JP"/>
        </w:rPr>
        <w:t xml:space="preserve"> </w:t>
      </w:r>
      <w:r>
        <w:rPr>
          <w:rFonts w:hint="eastAsia"/>
          <w:b/>
          <w:sz w:val="24"/>
          <w:szCs w:val="24"/>
        </w:rPr>
        <w:t>21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Mar</w:t>
      </w:r>
      <w:r>
        <w:rPr>
          <w:b/>
          <w:sz w:val="24"/>
          <w:szCs w:val="24"/>
        </w:rPr>
        <w:t>.</w:t>
      </w:r>
      <w:r>
        <w:rPr>
          <w:rFonts w:hint="eastAsia"/>
          <w:b/>
          <w:sz w:val="24"/>
          <w:szCs w:val="24"/>
        </w:rPr>
        <w:t xml:space="preserve"> 03</w:t>
      </w:r>
      <w:r>
        <w:rPr>
          <w:rFonts w:eastAsia="Batang"/>
          <w:b/>
          <w:sz w:val="24"/>
          <w:szCs w:val="24"/>
          <w:vertAlign w:val="superscript"/>
          <w:lang w:eastAsia="ja-JP"/>
        </w:rPr>
        <w:t>th</w:t>
      </w:r>
      <w:r>
        <w:rPr>
          <w:rFonts w:eastAsia="Batang"/>
          <w:b/>
          <w:sz w:val="24"/>
          <w:szCs w:val="24"/>
          <w:lang w:eastAsia="ja-JP"/>
        </w:rPr>
        <w:t>, 2022</w:t>
      </w:r>
    </w:p>
    <w:p w14:paraId="08278BEB" w14:textId="77777777" w:rsidR="00EE6CAC" w:rsidRDefault="003C11E5">
      <w:pPr>
        <w:tabs>
          <w:tab w:val="center" w:pos="4536"/>
          <w:tab w:val="right" w:pos="9072"/>
        </w:tabs>
        <w:spacing w:before="120" w:after="120"/>
        <w:rPr>
          <w:b/>
          <w:sz w:val="22"/>
          <w:szCs w:val="22"/>
        </w:rPr>
      </w:pPr>
      <w:r>
        <w:rPr>
          <w:b/>
          <w:sz w:val="22"/>
          <w:szCs w:val="22"/>
        </w:rPr>
        <w:tab/>
      </w:r>
    </w:p>
    <w:p w14:paraId="702F70BD" w14:textId="77777777" w:rsidR="00EE6CAC" w:rsidRDefault="003C11E5">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14:paraId="6704EF9B" w14:textId="77777777" w:rsidR="00EE6CAC" w:rsidRDefault="003C11E5">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Remaining issues of power saving enhancements for paging</w:t>
      </w:r>
    </w:p>
    <w:p w14:paraId="4368EB58" w14:textId="77777777" w:rsidR="00EE6CAC" w:rsidRDefault="003C11E5">
      <w:pPr>
        <w:tabs>
          <w:tab w:val="left" w:pos="1985"/>
        </w:tabs>
        <w:spacing w:before="120" w:after="120" w:line="240" w:lineRule="auto"/>
        <w:rPr>
          <w:b/>
          <w:sz w:val="22"/>
          <w:szCs w:val="22"/>
        </w:rPr>
      </w:pPr>
      <w:r>
        <w:rPr>
          <w:b/>
          <w:sz w:val="22"/>
          <w:szCs w:val="22"/>
          <w:lang w:val="pt-BR"/>
        </w:rPr>
        <w:t>Agenda item:</w:t>
      </w:r>
      <w:r>
        <w:rPr>
          <w:b/>
          <w:sz w:val="22"/>
          <w:szCs w:val="22"/>
          <w:lang w:val="pt-BR"/>
        </w:rPr>
        <w:tab/>
        <w:t>8.7.1.1</w:t>
      </w:r>
    </w:p>
    <w:p w14:paraId="2B19673C" w14:textId="77777777" w:rsidR="00EE6CAC" w:rsidRDefault="003C11E5">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089A4197" w14:textId="77777777" w:rsidR="00EE6CAC" w:rsidRDefault="003C11E5">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14:paraId="20D2FAB3" w14:textId="77777777" w:rsidR="00EE6CAC" w:rsidRDefault="003C11E5">
      <w:pPr>
        <w:spacing w:before="120" w:after="120"/>
      </w:pPr>
      <w:r>
        <w:rPr>
          <w:rFonts w:hint="eastAsia"/>
        </w:rPr>
        <w:t xml:space="preserve">In previous </w:t>
      </w:r>
      <w:r>
        <w:rPr>
          <w:rFonts w:hint="eastAsia"/>
        </w:rPr>
        <w:t>discussion, some agreements of paging enhancement were reached [1]. In this contribution,</w:t>
      </w:r>
      <w:r>
        <w:t xml:space="preserve"> the </w:t>
      </w:r>
      <w:r>
        <w:rPr>
          <w:rFonts w:hint="eastAsia"/>
        </w:rPr>
        <w:t>remaining issues o</w:t>
      </w:r>
      <w:r>
        <w:t>f</w:t>
      </w:r>
      <w:r>
        <w:rPr>
          <w:rFonts w:hint="eastAsia"/>
        </w:rPr>
        <w:t xml:space="preserve"> PEI are</w:t>
      </w:r>
      <w:r>
        <w:t xml:space="preserve"> </w:t>
      </w:r>
      <w:r>
        <w:rPr>
          <w:rFonts w:hint="eastAsia"/>
        </w:rPr>
        <w:t xml:space="preserve">further </w:t>
      </w:r>
      <w:r>
        <w:t>discussed.</w:t>
      </w:r>
    </w:p>
    <w:p w14:paraId="58E86B62" w14:textId="77777777" w:rsidR="00EE6CAC" w:rsidRDefault="00EE6CAC">
      <w:pPr>
        <w:spacing w:before="120" w:after="120"/>
        <w:rPr>
          <w:sz w:val="20"/>
        </w:rPr>
      </w:pPr>
    </w:p>
    <w:p w14:paraId="676C7DF1" w14:textId="77777777" w:rsidR="00EE6CAC" w:rsidRDefault="003C11E5">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Remaining issues of PEI</w:t>
      </w:r>
    </w:p>
    <w:p w14:paraId="4828839B" w14:textId="77777777" w:rsidR="00EE6CAC" w:rsidRDefault="003C11E5">
      <w:pPr>
        <w:spacing w:before="120" w:after="120"/>
      </w:pPr>
      <w:r>
        <w:rPr>
          <w:rFonts w:hint="eastAsia"/>
        </w:rPr>
        <w:t xml:space="preserve">PEI was introduced to reduce the power consumption of unnecessary paging reception. In previous </w:t>
      </w:r>
      <w:r>
        <w:t>meetings</w:t>
      </w:r>
      <w:r>
        <w:rPr>
          <w:rFonts w:hint="eastAsia"/>
        </w:rPr>
        <w:t>, some designs</w:t>
      </w:r>
      <w:r>
        <w:t xml:space="preserve"> of PEI</w:t>
      </w:r>
      <w:r>
        <w:rPr>
          <w:rFonts w:hint="eastAsia"/>
        </w:rPr>
        <w:t xml:space="preserve">, such as the mapping methods of the paging indications, PEI-O location, search space and aggregation level </w:t>
      </w:r>
      <w:r>
        <w:t>were</w:t>
      </w:r>
      <w:r>
        <w:rPr>
          <w:rFonts w:hint="eastAsia"/>
        </w:rPr>
        <w:t xml:space="preserve"> discussed. In this</w:t>
      </w:r>
      <w:r>
        <w:rPr>
          <w:rFonts w:hint="eastAsia"/>
        </w:rPr>
        <w:t xml:space="preserve"> contribution, further discussion</w:t>
      </w:r>
      <w:r>
        <w:t xml:space="preserve"> and analysis</w:t>
      </w:r>
      <w:r>
        <w:rPr>
          <w:rFonts w:hint="eastAsia"/>
        </w:rPr>
        <w:t xml:space="preserve"> are provided. </w:t>
      </w:r>
    </w:p>
    <w:p w14:paraId="554DB137" w14:textId="77777777" w:rsidR="00EE6CAC" w:rsidRDefault="003C11E5">
      <w:pPr>
        <w:pStyle w:val="2"/>
        <w:spacing w:before="120" w:after="120" w:line="260" w:lineRule="auto"/>
        <w:ind w:left="0" w:right="210"/>
        <w:rPr>
          <w:sz w:val="21"/>
          <w:szCs w:val="21"/>
        </w:rPr>
      </w:pPr>
      <w:r>
        <w:rPr>
          <w:rFonts w:ascii="Times New Roman" w:eastAsia="宋体" w:hAnsi="Times New Roman" w:hint="eastAsia"/>
          <w:b/>
          <w:bCs/>
          <w:sz w:val="22"/>
          <w:szCs w:val="22"/>
        </w:rPr>
        <w:t>PEI search space</w:t>
      </w:r>
    </w:p>
    <w:p w14:paraId="20947801" w14:textId="1B696568" w:rsidR="00EE6CAC" w:rsidRDefault="003C11E5">
      <w:pPr>
        <w:spacing w:before="120" w:after="120"/>
        <w:rPr>
          <w:szCs w:val="21"/>
        </w:rPr>
      </w:pPr>
      <w:r>
        <w:rPr>
          <w:rFonts w:hint="eastAsia"/>
          <w:szCs w:val="21"/>
        </w:rPr>
        <w:t>I</w:t>
      </w:r>
      <w:r>
        <w:rPr>
          <w:szCs w:val="21"/>
        </w:rPr>
        <w:t xml:space="preserve">n </w:t>
      </w:r>
      <w:r>
        <w:rPr>
          <w:rFonts w:hint="eastAsia"/>
        </w:rPr>
        <w:t>3GPP TSG RAN 1#107-e meeting</w:t>
      </w:r>
      <w:r>
        <w:t>, it was agreed that the search space set for PEI can be configured as CSS other than SSS#0.</w:t>
      </w:r>
      <w:r>
        <w:rPr>
          <w:szCs w:val="21"/>
        </w:rPr>
        <w:t xml:space="preserve"> </w:t>
      </w:r>
      <w:r>
        <w:rPr>
          <w:rFonts w:hint="eastAsia"/>
          <w:szCs w:val="21"/>
        </w:rPr>
        <w:t>In</w:t>
      </w:r>
      <w:r>
        <w:rPr>
          <w:szCs w:val="21"/>
        </w:rPr>
        <w:t xml:space="preserve"> </w:t>
      </w:r>
      <w:r>
        <w:rPr>
          <w:rFonts w:hint="eastAsia"/>
        </w:rPr>
        <w:t>3GPP TSG RAN 1#107b</w:t>
      </w:r>
      <w:r w:rsidR="00D416C8">
        <w:t>is</w:t>
      </w:r>
      <w:r>
        <w:rPr>
          <w:rFonts w:hint="eastAsia"/>
        </w:rPr>
        <w:t xml:space="preserve">-e meeting, </w:t>
      </w:r>
      <w:r>
        <w:t>whether SSS#0 can b</w:t>
      </w:r>
      <w:r>
        <w:t xml:space="preserve">e used for PEI was further discussed and </w:t>
      </w:r>
      <w:r>
        <w:rPr>
          <w:rFonts w:hint="eastAsia"/>
          <w:color w:val="000000"/>
          <w:szCs w:val="21"/>
        </w:rPr>
        <w:t>a working assumption was made as follows [2]</w:t>
      </w:r>
      <w:r>
        <w:rPr>
          <w:rFonts w:hint="eastAsia"/>
        </w:rPr>
        <w:t>.</w:t>
      </w:r>
    </w:p>
    <w:tbl>
      <w:tblPr>
        <w:tblStyle w:val="ac"/>
        <w:tblW w:w="0" w:type="auto"/>
        <w:jc w:val="center"/>
        <w:tblLook w:val="04A0" w:firstRow="1" w:lastRow="0" w:firstColumn="1" w:lastColumn="0" w:noHBand="0" w:noVBand="1"/>
      </w:tblPr>
      <w:tblGrid>
        <w:gridCol w:w="9650"/>
      </w:tblGrid>
      <w:tr w:rsidR="00EE6CAC" w14:paraId="253D77B0" w14:textId="77777777">
        <w:trPr>
          <w:trHeight w:val="588"/>
          <w:jc w:val="center"/>
        </w:trPr>
        <w:tc>
          <w:tcPr>
            <w:tcW w:w="9660" w:type="dxa"/>
          </w:tcPr>
          <w:p w14:paraId="7ACC7CDA" w14:textId="77777777" w:rsidR="00EE6CAC" w:rsidRDefault="003C11E5">
            <w:pPr>
              <w:numPr>
                <w:ilvl w:val="255"/>
                <w:numId w:val="0"/>
              </w:numPr>
              <w:spacing w:beforeLines="0" w:before="120" w:afterLines="0" w:after="120" w:line="240" w:lineRule="auto"/>
              <w:rPr>
                <w:b/>
                <w:bCs/>
                <w:szCs w:val="21"/>
                <w:highlight w:val="darkYellow"/>
                <w:lang w:eastAsia="zh-TW"/>
              </w:rPr>
            </w:pPr>
            <w:r>
              <w:rPr>
                <w:b/>
                <w:bCs/>
                <w:szCs w:val="21"/>
                <w:highlight w:val="darkYellow"/>
                <w:lang w:eastAsia="zh-TW"/>
              </w:rPr>
              <w:t>Working assumption</w:t>
            </w:r>
          </w:p>
          <w:p w14:paraId="11DEA3C5" w14:textId="77777777" w:rsidR="00EE6CAC" w:rsidRDefault="003C11E5">
            <w:pPr>
              <w:numPr>
                <w:ilvl w:val="0"/>
                <w:numId w:val="9"/>
              </w:numPr>
              <w:spacing w:beforeLines="0" w:before="120" w:afterLines="0" w:after="120" w:line="240" w:lineRule="auto"/>
              <w:ind w:leftChars="200" w:left="735" w:hangingChars="150" w:hanging="315"/>
              <w:rPr>
                <w:szCs w:val="21"/>
              </w:rPr>
            </w:pPr>
            <w:r>
              <w:rPr>
                <w:rFonts w:eastAsia="Microsoft YaHei UI"/>
                <w:i/>
                <w:iCs/>
                <w:color w:val="000000"/>
                <w:szCs w:val="21"/>
              </w:rPr>
              <w:t>SearchSpaceId = 0</w:t>
            </w:r>
            <w:r>
              <w:rPr>
                <w:rFonts w:eastAsia="Microsoft YaHei UI"/>
                <w:color w:val="000000"/>
                <w:szCs w:val="21"/>
              </w:rPr>
              <w:t> can be configured for</w:t>
            </w:r>
            <w:r>
              <w:rPr>
                <w:rFonts w:eastAsia="Microsoft YaHei UI" w:hint="eastAsia"/>
                <w:color w:val="000000"/>
                <w:szCs w:val="21"/>
              </w:rPr>
              <w:t xml:space="preserve"> </w:t>
            </w:r>
            <w:r>
              <w:rPr>
                <w:rFonts w:eastAsia="Microsoft YaHei UI"/>
                <w:i/>
                <w:iCs/>
                <w:color w:val="000000"/>
                <w:szCs w:val="21"/>
              </w:rPr>
              <w:t>peiSearchSpace</w:t>
            </w:r>
            <w:r>
              <w:rPr>
                <w:rFonts w:eastAsia="Microsoft YaHei UI"/>
                <w:color w:val="000000"/>
                <w:szCs w:val="21"/>
              </w:rPr>
              <w:t> for the case of CORESET multiplexing pattern </w:t>
            </w:r>
            <w:r>
              <w:rPr>
                <w:rFonts w:eastAsia="Microsoft YaHei UI"/>
                <w:b/>
                <w:bCs/>
                <w:color w:val="000000"/>
                <w:szCs w:val="21"/>
              </w:rPr>
              <w:t>2 or</w:t>
            </w:r>
            <w:r>
              <w:rPr>
                <w:rFonts w:eastAsia="Microsoft YaHei UI"/>
                <w:color w:val="000000"/>
                <w:szCs w:val="21"/>
              </w:rPr>
              <w:t> 3</w:t>
            </w:r>
          </w:p>
        </w:tc>
      </w:tr>
    </w:tbl>
    <w:p w14:paraId="72870450" w14:textId="77777777" w:rsidR="00EE6CAC" w:rsidRDefault="003C11E5">
      <w:pPr>
        <w:spacing w:before="120" w:after="120"/>
        <w:jc w:val="center"/>
      </w:pPr>
      <w:r>
        <w:rPr>
          <w:noProof/>
        </w:rPr>
        <w:drawing>
          <wp:inline distT="0" distB="0" distL="114300" distR="114300">
            <wp:extent cx="5665470" cy="2318385"/>
            <wp:effectExtent l="0" t="0" r="381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665470" cy="2318385"/>
                    </a:xfrm>
                    <a:prstGeom prst="rect">
                      <a:avLst/>
                    </a:prstGeom>
                    <a:noFill/>
                    <a:ln>
                      <a:noFill/>
                    </a:ln>
                  </pic:spPr>
                </pic:pic>
              </a:graphicData>
            </a:graphic>
          </wp:inline>
        </w:drawing>
      </w:r>
    </w:p>
    <w:p w14:paraId="3DD77913" w14:textId="498EF2C1" w:rsidR="00EE6CAC" w:rsidRDefault="003C11E5">
      <w:pPr>
        <w:spacing w:before="120" w:after="120"/>
        <w:jc w:val="center"/>
      </w:pPr>
      <w:r>
        <w:rPr>
          <w:rFonts w:hint="eastAsia"/>
        </w:rPr>
        <w:t xml:space="preserve">Figure 1 </w:t>
      </w:r>
      <w:r w:rsidR="00702A6E">
        <w:rPr>
          <w:rFonts w:hint="eastAsia"/>
        </w:rPr>
        <w:t>M</w:t>
      </w:r>
      <w:r>
        <w:t>ultiplexing pattern</w:t>
      </w:r>
      <w:r>
        <w:rPr>
          <w:rFonts w:hint="eastAsia"/>
        </w:rPr>
        <w:t xml:space="preserve"> of </w:t>
      </w:r>
      <w:r>
        <w:t>SS</w:t>
      </w:r>
      <w:r>
        <w:rPr>
          <w:rFonts w:hint="eastAsia"/>
        </w:rPr>
        <w:t>B</w:t>
      </w:r>
      <w:r>
        <w:t xml:space="preserve"> and CORESET#0</w:t>
      </w:r>
    </w:p>
    <w:p w14:paraId="1AC3C4E2" w14:textId="30998798" w:rsidR="00702A6E" w:rsidRPr="00702A6E" w:rsidRDefault="00702A6E" w:rsidP="00702A6E">
      <w:pPr>
        <w:spacing w:before="120" w:after="120"/>
        <w:rPr>
          <w:rFonts w:hint="eastAsia"/>
        </w:rPr>
      </w:pPr>
      <w:r>
        <w:rPr>
          <w:rFonts w:hint="eastAsia"/>
        </w:rPr>
        <w:lastRenderedPageBreak/>
        <w:t>T</w:t>
      </w:r>
      <w:r>
        <w:t xml:space="preserve">he multiplexing patterns for SSB and CORSET </w:t>
      </w:r>
      <w:r>
        <w:rPr>
          <w:rFonts w:hint="eastAsia"/>
        </w:rPr>
        <w:t>#</w:t>
      </w:r>
      <w:r>
        <w:t>0 are shown in Figure 1.</w:t>
      </w:r>
      <w:r>
        <w:rPr>
          <w:rFonts w:hint="eastAsia"/>
        </w:rPr>
        <w:t xml:space="preserve"> </w:t>
      </w:r>
      <w:r>
        <w:t xml:space="preserve">Where in </w:t>
      </w:r>
      <w:r>
        <w:rPr>
          <w:rFonts w:hint="eastAsia"/>
        </w:rPr>
        <w:t>case of CORESET multiplexing pattern </w:t>
      </w:r>
      <w:r>
        <w:t xml:space="preserve">1, </w:t>
      </w:r>
      <w:r>
        <w:rPr>
          <w:rFonts w:hint="eastAsia"/>
        </w:rPr>
        <w:t>time division multiplexing mode is adopted for SSB and CORESET #0</w:t>
      </w:r>
      <w:r>
        <w:t>.</w:t>
      </w:r>
      <w:r>
        <w:rPr>
          <w:rFonts w:hint="eastAsia"/>
        </w:rPr>
        <w:t xml:space="preserve"> </w:t>
      </w:r>
      <w:r>
        <w:t>In</w:t>
      </w:r>
      <w:r>
        <w:rPr>
          <w:rFonts w:hint="eastAsia"/>
        </w:rPr>
        <w:t xml:space="preserve"> the case of CORESET multiplexing pattern 2 or 3, the CORESET is in the previous slot of the SSB or in the same slot with the SSB. </w:t>
      </w:r>
    </w:p>
    <w:p w14:paraId="2E0E12B9" w14:textId="768299A3" w:rsidR="00EE6CAC" w:rsidRDefault="003C11E5">
      <w:pPr>
        <w:spacing w:before="120" w:after="120"/>
      </w:pPr>
      <w:r>
        <w:t>In our understanding,</w:t>
      </w:r>
      <w:r>
        <w:rPr>
          <w:rFonts w:hint="eastAsia"/>
        </w:rPr>
        <w:t xml:space="preserve"> </w:t>
      </w:r>
      <w:r>
        <w:t xml:space="preserve">supporting </w:t>
      </w:r>
      <w:r>
        <w:rPr>
          <w:rFonts w:hint="eastAsia"/>
        </w:rPr>
        <w:t xml:space="preserve">search space set 0 for </w:t>
      </w:r>
      <w:r>
        <w:rPr>
          <w:rFonts w:hint="eastAsia"/>
          <w:i/>
          <w:iCs/>
        </w:rPr>
        <w:t>peisear</w:t>
      </w:r>
      <w:r>
        <w:rPr>
          <w:rFonts w:hint="eastAsia"/>
          <w:i/>
          <w:iCs/>
        </w:rPr>
        <w:t>chspace</w:t>
      </w:r>
      <w:r>
        <w:rPr>
          <w:i/>
          <w:iCs/>
        </w:rPr>
        <w:t xml:space="preserve"> </w:t>
      </w:r>
      <w:r>
        <w:rPr>
          <w:iCs/>
        </w:rPr>
        <w:t>provides more flexibility for NW</w:t>
      </w:r>
      <w:r>
        <w:rPr>
          <w:iCs/>
        </w:rPr>
        <w:t xml:space="preserve"> implementation</w:t>
      </w:r>
      <w:r>
        <w:rPr>
          <w:rFonts w:hint="eastAsia"/>
        </w:rPr>
        <w:t xml:space="preserve">. </w:t>
      </w:r>
      <w:r>
        <w:t>However, s</w:t>
      </w:r>
      <w:r>
        <w:rPr>
          <w:rFonts w:hint="eastAsia"/>
        </w:rPr>
        <w:t xml:space="preserve">ome companies concerned that configuring </w:t>
      </w:r>
      <w:r>
        <w:rPr>
          <w:rFonts w:eastAsia="Microsoft YaHei UI"/>
          <w:i/>
          <w:iCs/>
          <w:color w:val="000000"/>
          <w:szCs w:val="21"/>
        </w:rPr>
        <w:t xml:space="preserve">SearchSpaceId </w:t>
      </w:r>
      <w:r w:rsidRPr="00702A6E">
        <w:rPr>
          <w:rFonts w:eastAsia="Microsoft YaHei UI"/>
          <w:color w:val="000000"/>
          <w:szCs w:val="21"/>
        </w:rPr>
        <w:t>= 0</w:t>
      </w:r>
      <w:r>
        <w:rPr>
          <w:rFonts w:hint="eastAsia"/>
        </w:rPr>
        <w:t xml:space="preserve"> for PEI </w:t>
      </w:r>
      <w:r>
        <w:t>may require UE to wake up earlier to detect the previous SSB for sync required by PEI performance</w:t>
      </w:r>
      <w:r>
        <w:rPr>
          <w:rFonts w:hint="eastAsia"/>
        </w:rPr>
        <w:t xml:space="preserve"> due to the time domain l</w:t>
      </w:r>
      <w:r>
        <w:rPr>
          <w:rFonts w:hint="eastAsia"/>
        </w:rPr>
        <w:t>ocation of PEI and SSB, thus the power saving gain</w:t>
      </w:r>
      <w:r>
        <w:t xml:space="preserve"> may be degraded</w:t>
      </w:r>
      <w:r>
        <w:rPr>
          <w:rFonts w:hint="eastAsia"/>
        </w:rPr>
        <w:t>. While some UE</w:t>
      </w:r>
      <w:r>
        <w:t>/</w:t>
      </w:r>
      <w:r>
        <w:rPr>
          <w:rFonts w:hint="eastAsia"/>
        </w:rPr>
        <w:t>chip-vendor</w:t>
      </w:r>
      <w:r>
        <w:t>s</w:t>
      </w:r>
      <w:r>
        <w:rPr>
          <w:rFonts w:hint="eastAsia"/>
        </w:rPr>
        <w:t xml:space="preserve"> state</w:t>
      </w:r>
      <w:r>
        <w:t>d</w:t>
      </w:r>
      <w:r>
        <w:rPr>
          <w:rFonts w:hint="eastAsia"/>
        </w:rPr>
        <w:t xml:space="preserve"> UE can detect PEI </w:t>
      </w:r>
      <w:r>
        <w:t>in</w:t>
      </w:r>
      <w:r>
        <w:rPr>
          <w:rFonts w:hint="eastAsia"/>
        </w:rPr>
        <w:t xml:space="preserve"> buffer-then-process manner</w:t>
      </w:r>
      <w:r>
        <w:t>.</w:t>
      </w:r>
      <w:r>
        <w:rPr>
          <w:rFonts w:hint="eastAsia"/>
        </w:rPr>
        <w:t xml:space="preserve"> </w:t>
      </w:r>
      <w:r>
        <w:t>I</w:t>
      </w:r>
      <w:r>
        <w:rPr>
          <w:rFonts w:hint="eastAsia"/>
        </w:rPr>
        <w:t xml:space="preserve">n this way, there is no </w:t>
      </w:r>
      <w:r>
        <w:t>harm</w:t>
      </w:r>
      <w:r>
        <w:rPr>
          <w:rFonts w:hint="eastAsia"/>
        </w:rPr>
        <w:t xml:space="preserve"> </w:t>
      </w:r>
      <w:r>
        <w:t>to</w:t>
      </w:r>
      <w:r>
        <w:rPr>
          <w:rFonts w:hint="eastAsia"/>
        </w:rPr>
        <w:t xml:space="preserve"> power saving gain. On the other hand, </w:t>
      </w:r>
      <w:r>
        <w:t xml:space="preserve">we need to notice </w:t>
      </w:r>
      <w:r>
        <w:rPr>
          <w:rFonts w:hint="eastAsia"/>
        </w:rPr>
        <w:t xml:space="preserve">whether UE to </w:t>
      </w:r>
      <w:r>
        <w:rPr>
          <w:rFonts w:hint="eastAsia"/>
        </w:rPr>
        <w:t>detect PEI depends on UE implementation</w:t>
      </w:r>
      <w:r>
        <w:t xml:space="preserve"> according to the conclusion in the last meeting</w:t>
      </w:r>
      <w:r>
        <w:rPr>
          <w:rFonts w:hint="eastAsia"/>
        </w:rPr>
        <w:t xml:space="preserve">, and NW will also take the impact </w:t>
      </w:r>
      <w:r>
        <w:t xml:space="preserve">on UE power saving gain </w:t>
      </w:r>
      <w:r>
        <w:rPr>
          <w:rFonts w:hint="eastAsia"/>
        </w:rPr>
        <w:t xml:space="preserve">into account when deploying the feature in the future. If the power saving gain cannot be guaranteed, gNB </w:t>
      </w:r>
      <w:r>
        <w:t>will</w:t>
      </w:r>
      <w:r>
        <w:t xml:space="preserve"> not</w:t>
      </w:r>
      <w:r>
        <w:rPr>
          <w:rFonts w:hint="eastAsia"/>
        </w:rPr>
        <w:t xml:space="preserve"> configure </w:t>
      </w:r>
      <w:r>
        <w:rPr>
          <w:rFonts w:eastAsia="Microsoft YaHei UI"/>
          <w:i/>
          <w:iCs/>
          <w:color w:val="000000"/>
          <w:szCs w:val="21"/>
        </w:rPr>
        <w:t xml:space="preserve">SearchSpaceId </w:t>
      </w:r>
      <w:r w:rsidRPr="00702A6E">
        <w:rPr>
          <w:rFonts w:eastAsia="Microsoft YaHei UI"/>
          <w:color w:val="000000"/>
          <w:szCs w:val="21"/>
        </w:rPr>
        <w:t>= 0</w:t>
      </w:r>
      <w:r>
        <w:rPr>
          <w:rFonts w:hint="eastAsia"/>
        </w:rPr>
        <w:t xml:space="preserve"> as </w:t>
      </w:r>
      <w:r>
        <w:rPr>
          <w:rFonts w:hint="eastAsia"/>
          <w:i/>
          <w:iCs/>
        </w:rPr>
        <w:t>peisearchspace</w:t>
      </w:r>
      <w:r>
        <w:rPr>
          <w:rFonts w:hint="eastAsia"/>
        </w:rPr>
        <w:t xml:space="preserve"> </w:t>
      </w:r>
      <w:r>
        <w:rPr>
          <w:rFonts w:hint="eastAsia"/>
        </w:rPr>
        <w:t xml:space="preserve">or UE </w:t>
      </w:r>
      <w:r>
        <w:t>does</w:t>
      </w:r>
      <w:r>
        <w:rPr>
          <w:rFonts w:hint="eastAsia"/>
        </w:rPr>
        <w:t xml:space="preserve"> not</w:t>
      </w:r>
      <w:r>
        <w:t xml:space="preserve"> need to</w:t>
      </w:r>
      <w:r>
        <w:rPr>
          <w:rFonts w:hint="eastAsia"/>
        </w:rPr>
        <w:t xml:space="preserve"> detect the PEI. </w:t>
      </w:r>
    </w:p>
    <w:p w14:paraId="762E26F9" w14:textId="67197AFA" w:rsidR="00EE6CAC" w:rsidRDefault="003C11E5">
      <w:pPr>
        <w:spacing w:before="120" w:after="120"/>
      </w:pPr>
      <w:r>
        <w:t>Moreover</w:t>
      </w:r>
      <w:r>
        <w:rPr>
          <w:rFonts w:hint="eastAsia"/>
        </w:rPr>
        <w:t xml:space="preserve">, the </w:t>
      </w:r>
      <w:r>
        <w:t xml:space="preserve">potential </w:t>
      </w:r>
      <w:r>
        <w:rPr>
          <w:rFonts w:hint="eastAsia"/>
        </w:rPr>
        <w:t xml:space="preserve">issue </w:t>
      </w:r>
      <w:r>
        <w:t xml:space="preserve">will be relieved </w:t>
      </w:r>
      <w:r>
        <w:rPr>
          <w:rFonts w:hint="eastAsia"/>
        </w:rPr>
        <w:t xml:space="preserve">when </w:t>
      </w:r>
      <w:r>
        <w:rPr>
          <w:rFonts w:eastAsia="Microsoft YaHei UI"/>
          <w:i/>
          <w:iCs/>
          <w:color w:val="000000"/>
          <w:szCs w:val="21"/>
        </w:rPr>
        <w:t xml:space="preserve">SearchSpaceId </w:t>
      </w:r>
      <w:r w:rsidRPr="00702A6E">
        <w:rPr>
          <w:rFonts w:eastAsia="Microsoft YaHei UI"/>
          <w:color w:val="000000"/>
          <w:szCs w:val="21"/>
        </w:rPr>
        <w:t>= 0</w:t>
      </w:r>
      <w:r>
        <w:rPr>
          <w:rFonts w:eastAsia="Microsoft YaHei UI"/>
          <w:color w:val="000000"/>
          <w:szCs w:val="21"/>
        </w:rPr>
        <w:t xml:space="preserve"> is configured for</w:t>
      </w:r>
      <w:r>
        <w:rPr>
          <w:rFonts w:eastAsia="Microsoft YaHei UI" w:hint="eastAsia"/>
          <w:color w:val="000000"/>
          <w:szCs w:val="21"/>
        </w:rPr>
        <w:t xml:space="preserve"> </w:t>
      </w:r>
      <w:r>
        <w:rPr>
          <w:rFonts w:eastAsia="Microsoft YaHei UI"/>
          <w:i/>
          <w:iCs/>
          <w:color w:val="000000"/>
          <w:szCs w:val="21"/>
        </w:rPr>
        <w:t>peiSearchSpace</w:t>
      </w:r>
      <w:r>
        <w:rPr>
          <w:rFonts w:eastAsia="Microsoft YaHei UI"/>
          <w:color w:val="000000"/>
          <w:szCs w:val="21"/>
        </w:rPr>
        <w:t> in the case of CORESET multiplexing pattern 2 or 3</w:t>
      </w:r>
      <w:r>
        <w:rPr>
          <w:rFonts w:hint="eastAsia"/>
        </w:rPr>
        <w:t>. Therefore</w:t>
      </w:r>
      <w:r>
        <w:rPr>
          <w:rFonts w:hint="eastAsia"/>
        </w:rPr>
        <w:t xml:space="preserve">, the working </w:t>
      </w:r>
      <w:r>
        <w:rPr>
          <w:rFonts w:hint="eastAsia"/>
          <w:szCs w:val="21"/>
        </w:rPr>
        <w:t xml:space="preserve">assumption can be confirmed. </w:t>
      </w:r>
    </w:p>
    <w:p w14:paraId="639A0C60" w14:textId="77777777" w:rsidR="00EE6CAC" w:rsidRDefault="003C11E5">
      <w:pPr>
        <w:pStyle w:val="YJ-Proposal"/>
        <w:spacing w:before="120" w:after="120"/>
        <w:rPr>
          <w:i w:val="0"/>
          <w:iCs w:val="0"/>
          <w:lang w:val="en-US" w:eastAsia="zh-CN"/>
        </w:rPr>
      </w:pPr>
      <w:bookmarkStart w:id="1" w:name="_Toc11330"/>
      <w:bookmarkStart w:id="2" w:name="_Toc23252"/>
      <w:bookmarkStart w:id="3" w:name="_Toc8436"/>
      <w:bookmarkStart w:id="4" w:name="_Toc29465"/>
      <w:bookmarkStart w:id="5" w:name="_Toc7872"/>
      <w:bookmarkStart w:id="6" w:name="_Toc25972"/>
      <w:bookmarkStart w:id="7" w:name="_Toc15007"/>
      <w:bookmarkStart w:id="8" w:name="_Toc9846"/>
      <w:bookmarkStart w:id="9" w:name="_Toc21503"/>
      <w:bookmarkStart w:id="10" w:name="_Toc19332"/>
      <w:bookmarkStart w:id="11" w:name="_Toc86840263"/>
      <w:bookmarkStart w:id="12" w:name="_Toc95758145"/>
      <w:r>
        <w:rPr>
          <w:rFonts w:hint="eastAsia"/>
          <w:i w:val="0"/>
          <w:iCs w:val="0"/>
          <w:lang w:val="en-US" w:eastAsia="zh-CN"/>
        </w:rPr>
        <w:t xml:space="preserve">Confirm the working assumption, </w:t>
      </w:r>
      <w:r>
        <w:rPr>
          <w:rFonts w:eastAsia="Microsoft YaHei UI"/>
          <w:color w:val="000000"/>
          <w:lang w:val="en-US" w:eastAsia="zh-CN"/>
        </w:rPr>
        <w:t xml:space="preserve">SearchSpaceId </w:t>
      </w:r>
      <w:r w:rsidRPr="00702A6E">
        <w:rPr>
          <w:rFonts w:eastAsia="Microsoft YaHei UI"/>
          <w:i w:val="0"/>
          <w:iCs w:val="0"/>
          <w:color w:val="000000"/>
          <w:lang w:val="en-US" w:eastAsia="zh-CN"/>
        </w:rPr>
        <w:t>= 0</w:t>
      </w:r>
      <w:r>
        <w:rPr>
          <w:rFonts w:eastAsia="Microsoft YaHei UI"/>
          <w:color w:val="000000"/>
          <w:lang w:val="en-US" w:eastAsia="zh-CN"/>
        </w:rPr>
        <w:t> </w:t>
      </w:r>
      <w:r>
        <w:rPr>
          <w:rFonts w:eastAsia="Microsoft YaHei UI"/>
          <w:i w:val="0"/>
          <w:iCs w:val="0"/>
          <w:color w:val="000000"/>
          <w:lang w:val="en-US" w:eastAsia="zh-CN"/>
        </w:rPr>
        <w:t>can be configured for</w:t>
      </w:r>
      <w:r>
        <w:rPr>
          <w:rFonts w:eastAsia="Microsoft YaHei UI" w:hint="eastAsia"/>
          <w:color w:val="000000"/>
          <w:lang w:val="en-US" w:eastAsia="zh-CN"/>
        </w:rPr>
        <w:t xml:space="preserve"> </w:t>
      </w:r>
      <w:r>
        <w:rPr>
          <w:rFonts w:eastAsia="Microsoft YaHei UI"/>
          <w:color w:val="000000"/>
          <w:lang w:val="en-US" w:eastAsia="zh-CN"/>
        </w:rPr>
        <w:t>peiSearchSpace </w:t>
      </w:r>
      <w:r>
        <w:rPr>
          <w:rFonts w:eastAsia="Microsoft YaHei UI"/>
          <w:i w:val="0"/>
          <w:iCs w:val="0"/>
          <w:color w:val="000000"/>
          <w:lang w:val="en-US" w:eastAsia="zh-CN"/>
        </w:rPr>
        <w:t>for the case of CORESET multiplexing pattern 2 or 3</w:t>
      </w:r>
      <w:r>
        <w:rPr>
          <w:rFonts w:hint="eastAsia"/>
          <w:i w:val="0"/>
          <w:iCs w:val="0"/>
          <w:lang w:val="en-US" w:eastAsia="zh-CN"/>
        </w:rPr>
        <w:t>.</w:t>
      </w:r>
      <w:bookmarkEnd w:id="1"/>
      <w:bookmarkEnd w:id="2"/>
      <w:bookmarkEnd w:id="3"/>
      <w:bookmarkEnd w:id="4"/>
      <w:bookmarkEnd w:id="5"/>
      <w:bookmarkEnd w:id="6"/>
      <w:bookmarkEnd w:id="7"/>
      <w:bookmarkEnd w:id="8"/>
      <w:bookmarkEnd w:id="9"/>
      <w:bookmarkEnd w:id="12"/>
    </w:p>
    <w:bookmarkEnd w:id="10"/>
    <w:bookmarkEnd w:id="11"/>
    <w:p w14:paraId="27D9AAB3" w14:textId="77777777" w:rsidR="00EE6CAC" w:rsidRPr="008C73B3" w:rsidRDefault="00EE6CAC">
      <w:pPr>
        <w:numPr>
          <w:ilvl w:val="255"/>
          <w:numId w:val="0"/>
        </w:numPr>
        <w:spacing w:beforeLines="0" w:before="120" w:afterLines="0" w:after="120" w:line="240" w:lineRule="auto"/>
        <w:rPr>
          <w:color w:val="000000"/>
          <w:szCs w:val="21"/>
        </w:rPr>
      </w:pPr>
    </w:p>
    <w:p w14:paraId="6476571D" w14:textId="77777777" w:rsidR="00EE6CAC" w:rsidRDefault="003C11E5">
      <w:pPr>
        <w:pStyle w:val="2"/>
        <w:spacing w:before="120" w:after="120" w:line="260" w:lineRule="auto"/>
        <w:ind w:left="28" w:right="210"/>
        <w:rPr>
          <w:rFonts w:ascii="Times New Roman" w:hAnsi="Times New Roman"/>
          <w:b/>
          <w:bCs/>
          <w:sz w:val="22"/>
          <w:szCs w:val="22"/>
        </w:rPr>
      </w:pPr>
      <w:bookmarkStart w:id="13" w:name="_Toc19439"/>
      <w:bookmarkStart w:id="14" w:name="_Toc22563"/>
      <w:bookmarkEnd w:id="13"/>
      <w:bookmarkEnd w:id="14"/>
      <w:r>
        <w:rPr>
          <w:rFonts w:ascii="Times New Roman" w:eastAsia="宋体" w:hAnsi="Times New Roman" w:hint="eastAsia"/>
          <w:b/>
          <w:bCs/>
          <w:sz w:val="22"/>
          <w:szCs w:val="22"/>
        </w:rPr>
        <w:t>PEI with eDRX</w:t>
      </w:r>
    </w:p>
    <w:p w14:paraId="2AF8D551" w14:textId="77777777" w:rsidR="00EE6CAC" w:rsidRDefault="003C11E5">
      <w:pPr>
        <w:spacing w:before="120" w:after="120"/>
      </w:pPr>
      <w:r>
        <w:rPr>
          <w:rFonts w:hint="eastAsia"/>
        </w:rPr>
        <w:t xml:space="preserve">According to the agreements in 3GPP TSG RAN 2#116b-e </w:t>
      </w:r>
      <w:r>
        <w:rPr>
          <w:rFonts w:hint="eastAsia"/>
        </w:rPr>
        <w:t>meeting, PEI and sub-grouping with eDRX are supported [3].</w:t>
      </w:r>
    </w:p>
    <w:tbl>
      <w:tblPr>
        <w:tblStyle w:val="ac"/>
        <w:tblW w:w="0" w:type="auto"/>
        <w:tblLook w:val="04A0" w:firstRow="1" w:lastRow="0" w:firstColumn="1" w:lastColumn="0" w:noHBand="0" w:noVBand="1"/>
      </w:tblPr>
      <w:tblGrid>
        <w:gridCol w:w="9650"/>
      </w:tblGrid>
      <w:tr w:rsidR="00EE6CAC" w14:paraId="069585AA" w14:textId="77777777">
        <w:tc>
          <w:tcPr>
            <w:tcW w:w="9876" w:type="dxa"/>
          </w:tcPr>
          <w:p w14:paraId="271C5FD7" w14:textId="77777777" w:rsidR="00EE6CAC" w:rsidRDefault="003C11E5">
            <w:pPr>
              <w:pStyle w:val="Agreement"/>
              <w:spacing w:before="120" w:after="120" w:line="260" w:lineRule="auto"/>
              <w:ind w:left="930" w:hanging="363"/>
            </w:pPr>
            <w:r>
              <w:t xml:space="preserve">RAN2 aims to Support PEI and subgrouping with eDRX. FFS the impact. </w:t>
            </w:r>
          </w:p>
        </w:tc>
      </w:tr>
    </w:tbl>
    <w:p w14:paraId="313573F8" w14:textId="1474AFE5" w:rsidR="00EE6CAC" w:rsidRDefault="003C11E5">
      <w:pPr>
        <w:spacing w:before="120" w:after="120"/>
      </w:pPr>
      <w:r>
        <w:rPr>
          <w:rFonts w:hint="eastAsia"/>
        </w:rPr>
        <w:t xml:space="preserve">For PEI and sub-grouping with eDRX, the </w:t>
      </w:r>
      <w:r w:rsidR="008C73B3">
        <w:t>mechanism</w:t>
      </w:r>
      <w:r>
        <w:rPr>
          <w:rFonts w:hint="eastAsia"/>
        </w:rPr>
        <w:t xml:space="preserve"> </w:t>
      </w:r>
      <w:r w:rsidR="008C73B3">
        <w:t>is</w:t>
      </w:r>
      <w:r>
        <w:rPr>
          <w:rFonts w:hint="eastAsia"/>
        </w:rPr>
        <w:t xml:space="preserve"> sufficient and have no additional </w:t>
      </w:r>
      <w:r w:rsidR="008C73B3">
        <w:t>discussion is needed</w:t>
      </w:r>
      <w:r>
        <w:rPr>
          <w:rFonts w:hint="eastAsia"/>
        </w:rPr>
        <w:t xml:space="preserve">. </w:t>
      </w:r>
    </w:p>
    <w:p w14:paraId="6AAEC72F" w14:textId="264F1863" w:rsidR="00EE6CAC" w:rsidRDefault="003C11E5">
      <w:pPr>
        <w:spacing w:before="120" w:after="120"/>
      </w:pPr>
      <w:r>
        <w:t>Ac</w:t>
      </w:r>
      <w:r>
        <w:t>cording to</w:t>
      </w:r>
      <w:r>
        <w:rPr>
          <w:rFonts w:hint="eastAsia"/>
        </w:rPr>
        <w:t xml:space="preserve"> current conclusions and agreements, the PEI-related parameters</w:t>
      </w:r>
      <w:r>
        <w:t>,</w:t>
      </w:r>
      <w:r>
        <w:rPr>
          <w:rFonts w:hint="eastAsia"/>
        </w:rPr>
        <w:t xml:space="preserve"> </w:t>
      </w:r>
      <w:r>
        <w:t>such as t</w:t>
      </w:r>
      <w:r>
        <w:rPr>
          <w:rFonts w:hint="eastAsia"/>
        </w:rPr>
        <w:t>he number of the POs associated with one PEI</w:t>
      </w:r>
      <w:r>
        <w:t>,</w:t>
      </w:r>
      <w:r>
        <w:rPr>
          <w:rFonts w:hint="eastAsia"/>
        </w:rPr>
        <w:t xml:space="preserve"> the number of sub-groups of one PO</w:t>
      </w:r>
      <w:r>
        <w:t>, PEI payload size, etc</w:t>
      </w:r>
      <w:r w:rsidR="00016342">
        <w:t>.</w:t>
      </w:r>
      <w:r>
        <w:t>,</w:t>
      </w:r>
      <w:r>
        <w:rPr>
          <w:rFonts w:hint="eastAsia"/>
        </w:rPr>
        <w:t xml:space="preserve"> </w:t>
      </w:r>
      <w:r>
        <w:t>are flexible and configurable</w:t>
      </w:r>
      <w:r>
        <w:t>.</w:t>
      </w:r>
      <w:r>
        <w:rPr>
          <w:rFonts w:hint="eastAsia"/>
        </w:rPr>
        <w:t xml:space="preserve"> </w:t>
      </w:r>
      <w:r>
        <w:t>These parameters can be flexibl</w:t>
      </w:r>
      <w:r>
        <w:t>y adjusted to</w:t>
      </w:r>
      <w:r>
        <w:rPr>
          <w:rFonts w:hint="eastAsia"/>
        </w:rPr>
        <w:t xml:space="preserve"> eDRX </w:t>
      </w:r>
      <w:r>
        <w:t>settings without</w:t>
      </w:r>
      <w:r>
        <w:rPr>
          <w:rFonts w:hint="eastAsia"/>
        </w:rPr>
        <w:t xml:space="preserve"> additional design.</w:t>
      </w:r>
    </w:p>
    <w:p w14:paraId="4E1C4AF6" w14:textId="77A90D74" w:rsidR="00EE6CAC" w:rsidRDefault="003C11E5">
      <w:pPr>
        <w:spacing w:before="120" w:after="120"/>
      </w:pPr>
      <w:r>
        <w:t>Moreover,</w:t>
      </w:r>
      <w:r>
        <w:rPr>
          <w:rFonts w:hint="eastAsia"/>
        </w:rPr>
        <w:t xml:space="preserve"> the PEI power saving gain is mainly </w:t>
      </w:r>
      <w:r>
        <w:t>determined</w:t>
      </w:r>
      <w:r>
        <w:rPr>
          <w:rFonts w:hint="eastAsia"/>
        </w:rPr>
        <w:t xml:space="preserve"> by the UE processing timeline and the position of the PEI relative to the PO. The optimal PEI position does not vary with the DRX configurations</w:t>
      </w:r>
      <w:r>
        <w:rPr>
          <w:rFonts w:hint="eastAsia"/>
        </w:rPr>
        <w:t>. What</w:t>
      </w:r>
      <w:r>
        <w:t>’</w:t>
      </w:r>
      <w:r>
        <w:rPr>
          <w:rFonts w:hint="eastAsia"/>
        </w:rPr>
        <w:t xml:space="preserve">s more, the PEI-O location is </w:t>
      </w:r>
      <w:r>
        <w:t>defined in</w:t>
      </w:r>
      <w:r>
        <w:rPr>
          <w:rFonts w:hint="eastAsia"/>
        </w:rPr>
        <w:t xml:space="preserve"> relative to the PO location</w:t>
      </w:r>
      <w:r>
        <w:t xml:space="preserve"> by a frame-level offset</w:t>
      </w:r>
      <w:r>
        <w:rPr>
          <w:rFonts w:hint="eastAsia"/>
        </w:rPr>
        <w:t>, and the offset can be configured with a maximum</w:t>
      </w:r>
      <w:r w:rsidR="00016342">
        <w:t xml:space="preserve"> value</w:t>
      </w:r>
      <w:r>
        <w:rPr>
          <w:rFonts w:hint="eastAsia"/>
        </w:rPr>
        <w:t xml:space="preserve"> of 16 frame</w:t>
      </w:r>
      <w:r>
        <w:t>s</w:t>
      </w:r>
      <w:r>
        <w:rPr>
          <w:rFonts w:hint="eastAsia"/>
        </w:rPr>
        <w:t xml:space="preserve">, which </w:t>
      </w:r>
      <w:r>
        <w:t>can</w:t>
      </w:r>
      <w:r>
        <w:rPr>
          <w:rFonts w:hint="eastAsia"/>
        </w:rPr>
        <w:t xml:space="preserve"> meet the requirements of different scenarios. On the other hand, the introduction o</w:t>
      </w:r>
      <w:r>
        <w:rPr>
          <w:rFonts w:hint="eastAsia"/>
        </w:rPr>
        <w:t xml:space="preserve">f eDRX </w:t>
      </w:r>
      <w:r>
        <w:t xml:space="preserve">already </w:t>
      </w:r>
      <w:r>
        <w:rPr>
          <w:rFonts w:hint="eastAsia"/>
        </w:rPr>
        <w:t>can achieve large power saving gain, the additional power saving gain obtained by the</w:t>
      </w:r>
      <w:r>
        <w:t xml:space="preserve"> combination of</w:t>
      </w:r>
      <w:r>
        <w:rPr>
          <w:rFonts w:hint="eastAsia"/>
        </w:rPr>
        <w:t xml:space="preserve"> PEI </w:t>
      </w:r>
      <w:r>
        <w:t>and</w:t>
      </w:r>
      <w:r>
        <w:rPr>
          <w:rFonts w:hint="eastAsia"/>
        </w:rPr>
        <w:t xml:space="preserve"> eDRX </w:t>
      </w:r>
      <w:r>
        <w:t>may be not attractive</w:t>
      </w:r>
      <w:r>
        <w:rPr>
          <w:rFonts w:hint="eastAsia"/>
        </w:rPr>
        <w:t xml:space="preserve">. It is unnecessary to define a </w:t>
      </w:r>
      <w:r>
        <w:t>dedicated</w:t>
      </w:r>
      <w:r>
        <w:rPr>
          <w:rFonts w:hint="eastAsia"/>
        </w:rPr>
        <w:t xml:space="preserve"> mechanism </w:t>
      </w:r>
      <w:r>
        <w:t>to support PEI with e-DRX</w:t>
      </w:r>
      <w:r>
        <w:rPr>
          <w:rFonts w:hint="eastAsia"/>
        </w:rPr>
        <w:t>.</w:t>
      </w:r>
    </w:p>
    <w:p w14:paraId="2E74A6FF" w14:textId="025EF001" w:rsidR="00EE6CAC" w:rsidRDefault="003C11E5">
      <w:pPr>
        <w:spacing w:before="120" w:after="120"/>
      </w:pPr>
      <w:r>
        <w:rPr>
          <w:rFonts w:hint="eastAsia"/>
        </w:rPr>
        <w:t xml:space="preserve">Therefore, when the PEI </w:t>
      </w:r>
      <w:r>
        <w:rPr>
          <w:rFonts w:hint="eastAsia"/>
        </w:rPr>
        <w:t>and sub-grouping with eDRX are supported, the current PEI mechanism</w:t>
      </w:r>
      <w:r>
        <w:t>, including PEI location determination, parameter candidates, etc</w:t>
      </w:r>
      <w:r w:rsidR="00CF6471">
        <w:t>.</w:t>
      </w:r>
      <w:r>
        <w:rPr>
          <w:rFonts w:hint="eastAsia"/>
        </w:rPr>
        <w:t>,</w:t>
      </w:r>
      <w:r>
        <w:rPr>
          <w:rFonts w:hint="eastAsia"/>
        </w:rPr>
        <w:t xml:space="preserve"> can be applied without additional </w:t>
      </w:r>
      <w:r>
        <w:t>consideration</w:t>
      </w:r>
      <w:r>
        <w:rPr>
          <w:rFonts w:hint="eastAsia"/>
        </w:rPr>
        <w:t>.</w:t>
      </w:r>
    </w:p>
    <w:p w14:paraId="4C374021" w14:textId="3D662A16" w:rsidR="00EE6CAC" w:rsidRDefault="003C11E5">
      <w:pPr>
        <w:pStyle w:val="YJ-Proposal"/>
        <w:spacing w:before="120" w:after="120"/>
        <w:jc w:val="both"/>
        <w:rPr>
          <w:lang w:val="en-US" w:eastAsia="zh-CN"/>
        </w:rPr>
      </w:pPr>
      <w:bookmarkStart w:id="15" w:name="_Toc3950"/>
      <w:bookmarkStart w:id="16" w:name="_Toc17371"/>
      <w:bookmarkStart w:id="17" w:name="_Toc7618"/>
      <w:bookmarkStart w:id="18" w:name="_Toc6524"/>
      <w:bookmarkStart w:id="19" w:name="_Toc12553"/>
      <w:bookmarkStart w:id="20" w:name="_Toc13466"/>
      <w:bookmarkStart w:id="21" w:name="_Toc27319"/>
      <w:bookmarkStart w:id="22" w:name="_Toc17559"/>
      <w:bookmarkStart w:id="23" w:name="_Toc95758146"/>
      <w:r w:rsidRPr="00702A6E">
        <w:rPr>
          <w:i w:val="0"/>
          <w:iCs w:val="0"/>
          <w:lang w:val="en-US" w:eastAsia="zh-CN"/>
        </w:rPr>
        <w:t>When the PEI and sub-grouping with eDRX are supported, the current PEI me</w:t>
      </w:r>
      <w:r w:rsidRPr="00702A6E">
        <w:rPr>
          <w:i w:val="0"/>
          <w:iCs w:val="0"/>
          <w:lang w:val="en-US" w:eastAsia="zh-CN"/>
        </w:rPr>
        <w:t xml:space="preserve">chanism </w:t>
      </w:r>
      <w:r>
        <w:rPr>
          <w:i w:val="0"/>
          <w:iCs w:val="0"/>
          <w:lang w:val="en-US" w:eastAsia="zh-CN"/>
        </w:rPr>
        <w:t>including PEI location determination, parameter candidates, etc</w:t>
      </w:r>
      <w:r w:rsidR="00CF6471">
        <w:rPr>
          <w:i w:val="0"/>
          <w:iCs w:val="0"/>
          <w:lang w:val="en-US" w:eastAsia="zh-CN"/>
        </w:rPr>
        <w:t>.</w:t>
      </w:r>
      <w:r>
        <w:rPr>
          <w:rFonts w:hint="eastAsia"/>
          <w:i w:val="0"/>
          <w:iCs w:val="0"/>
          <w:lang w:val="en-US" w:eastAsia="zh-CN"/>
        </w:rPr>
        <w:t>,</w:t>
      </w:r>
      <w:r>
        <w:rPr>
          <w:i w:val="0"/>
          <w:iCs w:val="0"/>
          <w:lang w:val="en-US" w:eastAsia="zh-CN"/>
        </w:rPr>
        <w:t xml:space="preserve"> can be applied to eDRX without additional </w:t>
      </w:r>
      <w:r>
        <w:rPr>
          <w:i w:val="0"/>
          <w:iCs w:val="0"/>
          <w:lang w:val="en-US" w:eastAsia="zh-CN"/>
        </w:rPr>
        <w:t>consideration</w:t>
      </w:r>
      <w:bookmarkEnd w:id="15"/>
      <w:bookmarkEnd w:id="16"/>
      <w:bookmarkEnd w:id="17"/>
      <w:bookmarkEnd w:id="18"/>
      <w:bookmarkEnd w:id="19"/>
      <w:bookmarkEnd w:id="20"/>
      <w:bookmarkEnd w:id="21"/>
      <w:bookmarkEnd w:id="22"/>
      <w:r w:rsidR="00CF6471">
        <w:rPr>
          <w:i w:val="0"/>
          <w:iCs w:val="0"/>
          <w:lang w:val="en-US" w:eastAsia="zh-CN"/>
        </w:rPr>
        <w:t>.</w:t>
      </w:r>
      <w:bookmarkEnd w:id="23"/>
    </w:p>
    <w:p w14:paraId="7EA4145E" w14:textId="77777777" w:rsidR="00EE6CAC" w:rsidRDefault="00EE6CAC">
      <w:pPr>
        <w:spacing w:before="120" w:after="120"/>
      </w:pPr>
    </w:p>
    <w:p w14:paraId="77AE46F1" w14:textId="2040C83F" w:rsidR="00EE6CAC" w:rsidRDefault="003C11E5">
      <w:pPr>
        <w:pStyle w:val="2"/>
        <w:spacing w:before="120" w:after="120" w:line="260" w:lineRule="auto"/>
        <w:ind w:left="28" w:right="210"/>
        <w:rPr>
          <w:rFonts w:ascii="Times New Roman" w:eastAsia="宋体" w:hAnsi="Times New Roman"/>
          <w:b/>
          <w:bCs/>
          <w:sz w:val="22"/>
          <w:szCs w:val="22"/>
        </w:rPr>
      </w:pPr>
      <w:r>
        <w:rPr>
          <w:rFonts w:ascii="Times New Roman" w:eastAsia="宋体" w:hAnsi="Times New Roman" w:hint="eastAsia"/>
          <w:b/>
          <w:bCs/>
          <w:sz w:val="22"/>
          <w:szCs w:val="22"/>
        </w:rPr>
        <w:t xml:space="preserve">PEI </w:t>
      </w:r>
      <w:r w:rsidR="00CF6471">
        <w:rPr>
          <w:rFonts w:ascii="Times New Roman" w:eastAsia="宋体" w:hAnsi="Times New Roman"/>
          <w:b/>
          <w:bCs/>
          <w:sz w:val="22"/>
          <w:szCs w:val="22"/>
        </w:rPr>
        <w:t>for</w:t>
      </w:r>
      <w:r>
        <w:rPr>
          <w:rFonts w:ascii="Times New Roman" w:eastAsia="宋体" w:hAnsi="Times New Roman"/>
          <w:b/>
          <w:bCs/>
          <w:sz w:val="22"/>
          <w:szCs w:val="22"/>
        </w:rPr>
        <w:t xml:space="preserve"> </w:t>
      </w:r>
      <w:r>
        <w:rPr>
          <w:rFonts w:ascii="Times New Roman" w:eastAsia="宋体" w:hAnsi="Times New Roman" w:hint="eastAsia"/>
          <w:b/>
          <w:bCs/>
          <w:sz w:val="22"/>
          <w:szCs w:val="22"/>
        </w:rPr>
        <w:t>Redcap</w:t>
      </w:r>
      <w:r>
        <w:rPr>
          <w:rFonts w:ascii="Times New Roman" w:eastAsia="宋体" w:hAnsi="Times New Roman"/>
          <w:b/>
          <w:bCs/>
          <w:sz w:val="22"/>
          <w:szCs w:val="22"/>
        </w:rPr>
        <w:t xml:space="preserve"> UE</w:t>
      </w:r>
    </w:p>
    <w:p w14:paraId="37558D05" w14:textId="3C5985D8" w:rsidR="00CF6471" w:rsidRDefault="003C11E5">
      <w:pPr>
        <w:spacing w:before="120" w:after="120"/>
        <w:rPr>
          <w:color w:val="000000"/>
          <w:sz w:val="20"/>
        </w:rPr>
      </w:pPr>
      <w:r>
        <w:rPr>
          <w:rFonts w:hint="eastAsia"/>
        </w:rPr>
        <w:t>A</w:t>
      </w:r>
      <w:r>
        <w:t xml:space="preserve">ccording to the following agreements </w:t>
      </w:r>
      <w:r>
        <w:t xml:space="preserve">in RAN2 LS [4], the </w:t>
      </w:r>
      <w:r>
        <w:rPr>
          <w:color w:val="000000"/>
          <w:sz w:val="20"/>
        </w:rPr>
        <w:t>RedCap UE monitors paging onl</w:t>
      </w:r>
      <w:r>
        <w:rPr>
          <w:color w:val="000000"/>
          <w:sz w:val="20"/>
        </w:rPr>
        <w:t>y in an initial BWP associated with CD-SSB. Hence, for Redcap UE, the operations including ser</w:t>
      </w:r>
      <w:r>
        <w:rPr>
          <w:rFonts w:hint="eastAsia"/>
          <w:color w:val="000000"/>
          <w:sz w:val="20"/>
        </w:rPr>
        <w:t>v</w:t>
      </w:r>
      <w:r>
        <w:rPr>
          <w:color w:val="000000"/>
          <w:sz w:val="20"/>
        </w:rPr>
        <w:t xml:space="preserve">ing cell measurement, sync correction, and PO reception are the same with legacy UEs. There is no need to further define dedicated mechanism for PEI </w:t>
      </w:r>
      <w:r w:rsidR="00CF6471">
        <w:rPr>
          <w:color w:val="000000"/>
          <w:sz w:val="20"/>
        </w:rPr>
        <w:t>for</w:t>
      </w:r>
      <w:r>
        <w:rPr>
          <w:color w:val="000000"/>
          <w:sz w:val="20"/>
        </w:rPr>
        <w:t xml:space="preserve"> Redcap </w:t>
      </w:r>
    </w:p>
    <w:p w14:paraId="73E481DC" w14:textId="680FC491" w:rsidR="00EE6CAC" w:rsidRDefault="003C11E5">
      <w:pPr>
        <w:spacing w:before="120" w:after="120"/>
        <w:rPr>
          <w:color w:val="000000"/>
          <w:sz w:val="20"/>
        </w:rPr>
      </w:pPr>
      <w:r>
        <w:rPr>
          <w:color w:val="000000"/>
          <w:sz w:val="20"/>
        </w:rPr>
        <w:lastRenderedPageBreak/>
        <w:t>UE.</w:t>
      </w:r>
    </w:p>
    <w:tbl>
      <w:tblPr>
        <w:tblStyle w:val="ac"/>
        <w:tblW w:w="0" w:type="auto"/>
        <w:tblLook w:val="04A0" w:firstRow="1" w:lastRow="0" w:firstColumn="1" w:lastColumn="0" w:noHBand="0" w:noVBand="1"/>
      </w:tblPr>
      <w:tblGrid>
        <w:gridCol w:w="9650"/>
      </w:tblGrid>
      <w:tr w:rsidR="00CF6471" w14:paraId="6AA044AC" w14:textId="77777777" w:rsidTr="00CF6471">
        <w:tc>
          <w:tcPr>
            <w:tcW w:w="9650" w:type="dxa"/>
          </w:tcPr>
          <w:p w14:paraId="2FA26310" w14:textId="77777777" w:rsidR="00CF6471" w:rsidRDefault="00CF6471" w:rsidP="00CF6471">
            <w:pPr>
              <w:spacing w:before="120" w:after="120"/>
              <w:rPr>
                <w:color w:val="000000"/>
                <w:kern w:val="0"/>
                <w:sz w:val="20"/>
              </w:rPr>
            </w:pPr>
            <w:r>
              <w:rPr>
                <w:color w:val="000000"/>
                <w:sz w:val="20"/>
              </w:rPr>
              <w:t>Regarding the following working assumption for FR1 and FR2 related to a separate initial DL BWP: “If it is configured for paging, RedCap UE expects it to contain NCD-SSB for serving cell but not CORESET#0/SIB from RAN1 perspective”</w:t>
            </w:r>
          </w:p>
          <w:p w14:paraId="4309D0E9" w14:textId="4B5AAD85" w:rsidR="00CF6471" w:rsidRPr="00CF6471" w:rsidRDefault="00CF6471" w:rsidP="00CF6471">
            <w:pPr>
              <w:pStyle w:val="ListParagraph1"/>
              <w:widowControl/>
              <w:numPr>
                <w:ilvl w:val="0"/>
                <w:numId w:val="10"/>
              </w:numPr>
              <w:spacing w:before="120"/>
              <w:jc w:val="both"/>
              <w:rPr>
                <w:rFonts w:ascii="Arial" w:hAnsi="Arial" w:cs="Arial"/>
                <w:color w:val="000000"/>
                <w:sz w:val="20"/>
                <w:szCs w:val="20"/>
              </w:rPr>
            </w:pPr>
            <w:r>
              <w:rPr>
                <w:rFonts w:ascii="Arial" w:hAnsi="Arial" w:cs="Arial"/>
                <w:color w:val="000000"/>
                <w:sz w:val="20"/>
                <w:szCs w:val="20"/>
              </w:rPr>
              <w:t>RAN2 agreed that “A RedCap UE in idle/inactive mode monitors paging only in an initial BWP (default or RedCap specific) associated with CD-SSB and performs cell (re-)selection and measurements on the CD-SSB.” Therefore, using an NCD-SSB for such purposes is not considered further.</w:t>
            </w:r>
          </w:p>
        </w:tc>
      </w:tr>
    </w:tbl>
    <w:p w14:paraId="3FF4E104" w14:textId="77777777" w:rsidR="00CF6471" w:rsidRPr="00CF6471" w:rsidRDefault="00CF6471">
      <w:pPr>
        <w:spacing w:before="120" w:after="120"/>
        <w:rPr>
          <w:color w:val="000000"/>
          <w:sz w:val="20"/>
        </w:rPr>
      </w:pPr>
    </w:p>
    <w:p w14:paraId="2056CDEF" w14:textId="041FA847" w:rsidR="00EE6CAC" w:rsidRPr="00DC0AB2" w:rsidRDefault="003C11E5" w:rsidP="00702A6E">
      <w:pPr>
        <w:pStyle w:val="YJ-Observation"/>
        <w:spacing w:before="120" w:after="120"/>
        <w:jc w:val="both"/>
        <w:rPr>
          <w:color w:val="000000"/>
        </w:rPr>
      </w:pPr>
      <w:bookmarkStart w:id="24" w:name="_Ref27391"/>
      <w:r w:rsidRPr="00702A6E">
        <w:rPr>
          <w:i w:val="0"/>
          <w:iCs w:val="0"/>
          <w:color w:val="000000"/>
        </w:rPr>
        <w:t xml:space="preserve">For Redcap UE, the operations including serving cell measurement, sync correction, and PO reception are the same with legacy UEs. There is no need to further define dedicated mechanism for PEI </w:t>
      </w:r>
      <w:r w:rsidR="00CF6471">
        <w:rPr>
          <w:i w:val="0"/>
          <w:iCs w:val="0"/>
          <w:color w:val="000000"/>
        </w:rPr>
        <w:t>for</w:t>
      </w:r>
      <w:r w:rsidRPr="00702A6E">
        <w:rPr>
          <w:i w:val="0"/>
          <w:iCs w:val="0"/>
          <w:color w:val="000000"/>
        </w:rPr>
        <w:t xml:space="preserve"> Redcap UE.</w:t>
      </w:r>
      <w:bookmarkEnd w:id="24"/>
    </w:p>
    <w:p w14:paraId="3BB60C73" w14:textId="77777777" w:rsidR="00EE6CAC" w:rsidRDefault="00EE6CAC">
      <w:pPr>
        <w:spacing w:before="120" w:after="120"/>
        <w:rPr>
          <w:rFonts w:hint="eastAsia"/>
        </w:rPr>
      </w:pPr>
    </w:p>
    <w:p w14:paraId="520870B7" w14:textId="77777777" w:rsidR="00EE6CAC" w:rsidRDefault="003C11E5">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14:paraId="28D90DA0" w14:textId="77777777" w:rsidR="00EE6CAC" w:rsidRDefault="003C11E5">
      <w:pPr>
        <w:spacing w:before="120" w:after="120"/>
        <w:rPr>
          <w:szCs w:val="22"/>
        </w:rPr>
      </w:pPr>
      <w:r>
        <w:rPr>
          <w:rFonts w:hint="eastAsia"/>
        </w:rPr>
        <w:t xml:space="preserve">In this </w:t>
      </w:r>
      <w:r>
        <w:rPr>
          <w:rFonts w:hint="eastAsia"/>
        </w:rPr>
        <w:t>contribution, we discuss the</w:t>
      </w:r>
      <w:r>
        <w:t xml:space="preserve"> remaining issues of</w:t>
      </w:r>
      <w:r>
        <w:rPr>
          <w:rFonts w:hint="eastAsia"/>
        </w:rPr>
        <w:t xml:space="preserve"> power saving enhancement schemes for paging. We have the following proposals</w:t>
      </w:r>
      <w:r>
        <w:rPr>
          <w:rFonts w:hint="eastAsia"/>
        </w:rPr>
        <w:t xml:space="preserve"> and observation</w:t>
      </w:r>
      <w:r>
        <w:rPr>
          <w:rFonts w:hint="eastAsia"/>
        </w:rPr>
        <w:t>.</w:t>
      </w:r>
    </w:p>
    <w:p w14:paraId="77012F14" w14:textId="77777777" w:rsidR="00CF6471" w:rsidRPr="00CF6471" w:rsidRDefault="003C11E5" w:rsidP="00CF6471">
      <w:pPr>
        <w:pStyle w:val="10"/>
        <w:tabs>
          <w:tab w:val="left" w:pos="1282"/>
        </w:tabs>
        <w:spacing w:before="120" w:after="120"/>
        <w:jc w:val="both"/>
        <w:rPr>
          <w:rFonts w:asciiTheme="minorHAnsi" w:hAnsiTheme="minorHAnsi" w:cstheme="minorBidi"/>
          <w:bCs w:val="0"/>
          <w:i w:val="0"/>
          <w:iCs w:val="0"/>
          <w:noProof/>
          <w:sz w:val="21"/>
          <w:szCs w:val="22"/>
        </w:rPr>
      </w:pPr>
      <w:r w:rsidRPr="00CF6471">
        <w:rPr>
          <w:i w:val="0"/>
          <w:iCs w:val="0"/>
        </w:rPr>
        <w:fldChar w:fldCharType="begin"/>
      </w:r>
      <w:r w:rsidRPr="00CF6471">
        <w:rPr>
          <w:i w:val="0"/>
          <w:iCs w:val="0"/>
        </w:rPr>
        <w:instrText>TOC \n  \t "YJ-Proposal,1,sub-proposal,2,3rd level proposal,3" \h</w:instrText>
      </w:r>
      <w:r w:rsidRPr="00CF6471">
        <w:rPr>
          <w:i w:val="0"/>
          <w:iCs w:val="0"/>
        </w:rPr>
        <w:fldChar w:fldCharType="separate"/>
      </w:r>
      <w:hyperlink w:anchor="_Toc95758145" w:history="1">
        <w:r w:rsidR="00CF6471" w:rsidRPr="00CF6471">
          <w:rPr>
            <w:rStyle w:val="af"/>
            <w:rFonts w:eastAsia="宋体"/>
            <w:i w:val="0"/>
            <w:noProof/>
          </w:rPr>
          <w:t>Proposal 1:</w:t>
        </w:r>
        <w:r w:rsidR="00CF6471" w:rsidRPr="00CF6471">
          <w:rPr>
            <w:rFonts w:asciiTheme="minorHAnsi" w:hAnsiTheme="minorHAnsi" w:cstheme="minorBidi"/>
            <w:bCs w:val="0"/>
            <w:i w:val="0"/>
            <w:iCs w:val="0"/>
            <w:noProof/>
            <w:sz w:val="21"/>
            <w:szCs w:val="22"/>
          </w:rPr>
          <w:tab/>
        </w:r>
        <w:r w:rsidR="00CF6471" w:rsidRPr="00CF6471">
          <w:rPr>
            <w:rStyle w:val="af"/>
            <w:i w:val="0"/>
            <w:noProof/>
          </w:rPr>
          <w:t xml:space="preserve">Confirm the working assumption, </w:t>
        </w:r>
        <w:r w:rsidR="00CF6471" w:rsidRPr="00CF6471">
          <w:rPr>
            <w:rStyle w:val="af"/>
            <w:rFonts w:eastAsia="Microsoft YaHei UI"/>
            <w:i w:val="0"/>
            <w:noProof/>
          </w:rPr>
          <w:t>SearchSpaceId = 0 can be configured for peiSearchSpace for the case of CORESET multiplexing pattern 2 or 3</w:t>
        </w:r>
        <w:r w:rsidR="00CF6471" w:rsidRPr="00CF6471">
          <w:rPr>
            <w:rStyle w:val="af"/>
            <w:i w:val="0"/>
            <w:noProof/>
          </w:rPr>
          <w:t>.</w:t>
        </w:r>
      </w:hyperlink>
    </w:p>
    <w:p w14:paraId="0377F866" w14:textId="77777777" w:rsidR="00CF6471" w:rsidRPr="00CF6471" w:rsidRDefault="00CF6471" w:rsidP="00CF6471">
      <w:pPr>
        <w:pStyle w:val="10"/>
        <w:tabs>
          <w:tab w:val="left" w:pos="1282"/>
        </w:tabs>
        <w:spacing w:before="120" w:after="120"/>
        <w:jc w:val="both"/>
        <w:rPr>
          <w:rFonts w:asciiTheme="minorHAnsi" w:hAnsiTheme="minorHAnsi" w:cstheme="minorBidi"/>
          <w:bCs w:val="0"/>
          <w:i w:val="0"/>
          <w:iCs w:val="0"/>
          <w:noProof/>
          <w:sz w:val="21"/>
          <w:szCs w:val="22"/>
        </w:rPr>
      </w:pPr>
      <w:hyperlink w:anchor="_Toc95758146" w:history="1">
        <w:r w:rsidRPr="00CF6471">
          <w:rPr>
            <w:rStyle w:val="af"/>
            <w:rFonts w:eastAsia="宋体"/>
            <w:i w:val="0"/>
            <w:noProof/>
          </w:rPr>
          <w:t>Proposal 2:</w:t>
        </w:r>
        <w:r w:rsidRPr="00CF6471">
          <w:rPr>
            <w:rFonts w:asciiTheme="minorHAnsi" w:hAnsiTheme="minorHAnsi" w:cstheme="minorBidi"/>
            <w:bCs w:val="0"/>
            <w:i w:val="0"/>
            <w:iCs w:val="0"/>
            <w:noProof/>
            <w:sz w:val="21"/>
            <w:szCs w:val="22"/>
          </w:rPr>
          <w:tab/>
        </w:r>
        <w:r w:rsidRPr="00CF6471">
          <w:rPr>
            <w:rStyle w:val="af"/>
            <w:i w:val="0"/>
            <w:noProof/>
          </w:rPr>
          <w:t>When the PEI and sub-grouping with eDRX are supported, the current PEI mechanism including PEI location determination, parameter candidates, etc., c</w:t>
        </w:r>
        <w:bookmarkStart w:id="25" w:name="_GoBack"/>
        <w:bookmarkEnd w:id="25"/>
        <w:r w:rsidRPr="00CF6471">
          <w:rPr>
            <w:rStyle w:val="af"/>
            <w:i w:val="0"/>
            <w:noProof/>
          </w:rPr>
          <w:t>an be applied to eDRX without additional consideration.</w:t>
        </w:r>
      </w:hyperlink>
    </w:p>
    <w:p w14:paraId="02258A44" w14:textId="10713689" w:rsidR="00EE6CAC" w:rsidRPr="00CF6471" w:rsidRDefault="003C11E5" w:rsidP="00CF6471">
      <w:pPr>
        <w:pStyle w:val="10"/>
        <w:tabs>
          <w:tab w:val="left" w:pos="1540"/>
        </w:tabs>
        <w:spacing w:before="120" w:after="120"/>
        <w:jc w:val="both"/>
        <w:rPr>
          <w:i w:val="0"/>
        </w:rPr>
      </w:pPr>
      <w:r w:rsidRPr="00CF6471">
        <w:rPr>
          <w:i w:val="0"/>
        </w:rPr>
        <w:fldChar w:fldCharType="end"/>
      </w:r>
      <w:r w:rsidRPr="00CF6471">
        <w:rPr>
          <w:i w:val="0"/>
          <w:iCs w:val="0"/>
        </w:rPr>
        <w:fldChar w:fldCharType="begin"/>
      </w:r>
      <w:r w:rsidRPr="00CF6471">
        <w:rPr>
          <w:i w:val="0"/>
          <w:iCs w:val="0"/>
        </w:rPr>
        <w:instrText xml:space="preserve"> REF _Ref27391 \w \h </w:instrText>
      </w:r>
      <w:r w:rsidRPr="00CF6471">
        <w:rPr>
          <w:i w:val="0"/>
          <w:iCs w:val="0"/>
        </w:rPr>
      </w:r>
      <w:r w:rsidR="00CF6471" w:rsidRPr="00CF6471">
        <w:rPr>
          <w:i w:val="0"/>
          <w:iCs w:val="0"/>
        </w:rPr>
        <w:instrText xml:space="preserve"> \* MERGEFORMAT </w:instrText>
      </w:r>
      <w:r w:rsidRPr="00CF6471">
        <w:rPr>
          <w:i w:val="0"/>
          <w:iCs w:val="0"/>
        </w:rPr>
        <w:fldChar w:fldCharType="separate"/>
      </w:r>
      <w:r w:rsidRPr="00CF6471">
        <w:rPr>
          <w:i w:val="0"/>
          <w:iCs w:val="0"/>
        </w:rPr>
        <w:t>Observation 1:</w:t>
      </w:r>
      <w:r w:rsidRPr="00CF6471">
        <w:rPr>
          <w:i w:val="0"/>
          <w:iCs w:val="0"/>
        </w:rPr>
        <w:fldChar w:fldCharType="end"/>
      </w:r>
      <w:r w:rsidRPr="00CF6471">
        <w:rPr>
          <w:rFonts w:hint="eastAsia"/>
          <w:i w:val="0"/>
        </w:rPr>
        <w:t xml:space="preserve"> </w:t>
      </w:r>
      <w:r w:rsidRPr="00CF6471">
        <w:rPr>
          <w:i w:val="0"/>
        </w:rPr>
        <w:fldChar w:fldCharType="begin"/>
      </w:r>
      <w:r w:rsidRPr="00CF6471">
        <w:rPr>
          <w:i w:val="0"/>
        </w:rPr>
        <w:instrText xml:space="preserve"> REF _Ref27391 </w:instrText>
      </w:r>
      <w:r w:rsidRPr="00CF6471">
        <w:rPr>
          <w:i w:val="0"/>
        </w:rPr>
        <w:instrText xml:space="preserve">\h </w:instrText>
      </w:r>
      <w:r w:rsidRPr="00CF6471">
        <w:rPr>
          <w:i w:val="0"/>
        </w:rPr>
      </w:r>
      <w:r w:rsidR="00CF6471" w:rsidRPr="00CF6471">
        <w:rPr>
          <w:i w:val="0"/>
        </w:rPr>
        <w:instrText xml:space="preserve"> \* MERGEFORMAT </w:instrText>
      </w:r>
      <w:r w:rsidRPr="00CF6471">
        <w:rPr>
          <w:i w:val="0"/>
        </w:rPr>
        <w:fldChar w:fldCharType="separate"/>
      </w:r>
      <w:r w:rsidR="00CF6471" w:rsidRPr="00CF6471">
        <w:rPr>
          <w:i w:val="0"/>
          <w:iCs w:val="0"/>
          <w:color w:val="000000"/>
          <w:lang w:val="en-GB" w:eastAsia="en-US"/>
        </w:rPr>
        <w:t xml:space="preserve">For Redcap UE, the operations including serving cell measurement, sync correction, and PO reception are the same with legacy UEs. There is no need to further define dedicated mechanism for PEI </w:t>
      </w:r>
      <w:r w:rsidR="00CF6471" w:rsidRPr="00CF6471">
        <w:rPr>
          <w:i w:val="0"/>
          <w:iCs w:val="0"/>
          <w:color w:val="000000"/>
        </w:rPr>
        <w:t>for</w:t>
      </w:r>
      <w:r w:rsidR="00CF6471" w:rsidRPr="00CF6471">
        <w:rPr>
          <w:i w:val="0"/>
          <w:iCs w:val="0"/>
          <w:color w:val="000000"/>
          <w:lang w:val="en-GB" w:eastAsia="en-US"/>
        </w:rPr>
        <w:t xml:space="preserve"> Redcap UE.</w:t>
      </w:r>
      <w:r w:rsidRPr="00CF6471">
        <w:rPr>
          <w:i w:val="0"/>
        </w:rPr>
        <w:fldChar w:fldCharType="end"/>
      </w:r>
    </w:p>
    <w:p w14:paraId="75360979" w14:textId="77777777" w:rsidR="00EE6CAC" w:rsidRDefault="00EE6CAC">
      <w:pPr>
        <w:spacing w:before="120" w:after="120"/>
      </w:pPr>
    </w:p>
    <w:p w14:paraId="35165EB2" w14:textId="77777777" w:rsidR="00EE6CAC" w:rsidRDefault="003C11E5">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14:paraId="363BA742" w14:textId="77777777" w:rsidR="00EE6CAC" w:rsidRDefault="003C11E5">
      <w:pPr>
        <w:pStyle w:val="References"/>
        <w:spacing w:before="120" w:after="120"/>
        <w:ind w:left="363" w:hanging="363"/>
        <w:rPr>
          <w:szCs w:val="20"/>
        </w:rPr>
      </w:pPr>
      <w:bookmarkStart w:id="26" w:name="_Ref17466"/>
      <w:r>
        <w:rPr>
          <w:rFonts w:hint="eastAsia"/>
          <w:szCs w:val="20"/>
        </w:rPr>
        <w:t xml:space="preserve">RP-213348, Status report for WI_UE Power Saving Enhancements for NR, RAN#93-e. </w:t>
      </w:r>
    </w:p>
    <w:p w14:paraId="298C6B97" w14:textId="77777777" w:rsidR="00EE6CAC" w:rsidRDefault="003C11E5">
      <w:pPr>
        <w:pStyle w:val="References"/>
        <w:spacing w:before="120" w:after="120"/>
        <w:ind w:left="363" w:hanging="363"/>
        <w:rPr>
          <w:szCs w:val="20"/>
        </w:rPr>
      </w:pPr>
      <w:r>
        <w:rPr>
          <w:rFonts w:hint="eastAsia"/>
          <w:szCs w:val="20"/>
        </w:rPr>
        <w:t>Chairman's Notes RAN1#107b-e v13, 3GPP TSG RAN1#107b-e, 2022-01.</w:t>
      </w:r>
    </w:p>
    <w:p w14:paraId="0B0846D1" w14:textId="77777777" w:rsidR="00EE6CAC" w:rsidRDefault="003C11E5">
      <w:pPr>
        <w:pStyle w:val="References"/>
        <w:spacing w:before="120" w:after="120"/>
        <w:ind w:left="363" w:hanging="363"/>
        <w:rPr>
          <w:szCs w:val="20"/>
        </w:rPr>
      </w:pPr>
      <w:r>
        <w:rPr>
          <w:rFonts w:hint="eastAsia"/>
          <w:szCs w:val="20"/>
        </w:rPr>
        <w:t>R2-116bise Chair Notes Jan 25 1700 UTC, 3GPP TSG RAN2#116b-e, 2022-01.</w:t>
      </w:r>
      <w:bookmarkEnd w:id="26"/>
      <w:r>
        <w:rPr>
          <w:rFonts w:hint="eastAsia"/>
          <w:szCs w:val="20"/>
        </w:rPr>
        <w:t xml:space="preserve"> </w:t>
      </w:r>
    </w:p>
    <w:p w14:paraId="579173ED" w14:textId="1E2878E7" w:rsidR="00EE6CAC" w:rsidRDefault="00DC0AB2" w:rsidP="00DC0AB2">
      <w:pPr>
        <w:pStyle w:val="References"/>
        <w:spacing w:before="120" w:after="120"/>
      </w:pPr>
      <w:r w:rsidRPr="00DC0AB2">
        <w:t>R1-2200876</w:t>
      </w:r>
      <w:r>
        <w:t>,</w:t>
      </w:r>
      <w:r w:rsidRPr="00DC0AB2">
        <w:t xml:space="preserve"> Reply LS on the use of NCD-SSB or CSI-RS in DL BWPs for RedCap UEs</w:t>
      </w:r>
      <w:r w:rsidRPr="00DC0AB2">
        <w:rPr>
          <w:szCs w:val="20"/>
        </w:rPr>
        <w:t>, RAN</w:t>
      </w:r>
      <w:r>
        <w:rPr>
          <w:szCs w:val="20"/>
        </w:rPr>
        <w:t>1</w:t>
      </w:r>
      <w:r w:rsidRPr="00DC0AB2">
        <w:rPr>
          <w:szCs w:val="20"/>
        </w:rPr>
        <w:t>#</w:t>
      </w:r>
      <w:r>
        <w:rPr>
          <w:szCs w:val="20"/>
        </w:rPr>
        <w:t>108</w:t>
      </w:r>
      <w:r w:rsidRPr="00DC0AB2">
        <w:rPr>
          <w:szCs w:val="20"/>
        </w:rPr>
        <w:t>-e.</w:t>
      </w:r>
    </w:p>
    <w:p w14:paraId="1A0118FB" w14:textId="77777777" w:rsidR="00EE6CAC" w:rsidRDefault="003C11E5">
      <w:pPr>
        <w:spacing w:before="120" w:after="120" w:line="260" w:lineRule="auto"/>
        <w:rPr>
          <w:sz w:val="20"/>
        </w:rPr>
      </w:pPr>
      <w:r>
        <w:t xml:space="preserve"> </w:t>
      </w:r>
    </w:p>
    <w:p w14:paraId="37282609" w14:textId="77777777" w:rsidR="00EE6CAC" w:rsidRDefault="00EE6CAC">
      <w:pPr>
        <w:spacing w:beforeLines="0" w:afterLines="0"/>
        <w:jc w:val="left"/>
      </w:pPr>
    </w:p>
    <w:sectPr w:rsidR="00EE6CAC">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F2393" w14:textId="77777777" w:rsidR="003C11E5" w:rsidRDefault="003C11E5">
      <w:pPr>
        <w:spacing w:before="120" w:after="120" w:line="240" w:lineRule="auto"/>
      </w:pPr>
      <w:r>
        <w:separator/>
      </w:r>
    </w:p>
  </w:endnote>
  <w:endnote w:type="continuationSeparator" w:id="0">
    <w:p w14:paraId="5089C40C" w14:textId="77777777" w:rsidR="003C11E5" w:rsidRDefault="003C11E5">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30B7F" w14:textId="77777777" w:rsidR="00EE6CAC" w:rsidRDefault="00EE6CAC">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3666A" w14:textId="77777777" w:rsidR="00EE6CAC" w:rsidRDefault="003C11E5">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02C2A8" w14:textId="77777777" w:rsidR="00EE6CAC" w:rsidRDefault="003C11E5">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CF6471">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F02C2A8" w14:textId="77777777" w:rsidR="00EE6CAC" w:rsidRDefault="003C11E5">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CF6471">
                      <w:rPr>
                        <w:noProof/>
                      </w:rPr>
                      <w:t>3</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FE11D" w14:textId="77777777" w:rsidR="00EE6CAC" w:rsidRDefault="00EE6CAC">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FEC0A" w14:textId="77777777" w:rsidR="003C11E5" w:rsidRDefault="003C11E5">
      <w:pPr>
        <w:spacing w:before="120" w:after="120" w:line="240" w:lineRule="auto"/>
      </w:pPr>
      <w:r>
        <w:separator/>
      </w:r>
    </w:p>
  </w:footnote>
  <w:footnote w:type="continuationSeparator" w:id="0">
    <w:p w14:paraId="2200704F" w14:textId="77777777" w:rsidR="003C11E5" w:rsidRDefault="003C11E5">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AB044" w14:textId="77777777" w:rsidR="00EE6CAC" w:rsidRDefault="00EE6CAC">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DB5C3" w14:textId="77777777" w:rsidR="00EE6CAC" w:rsidRDefault="00EE6CAC">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9814D" w14:textId="77777777" w:rsidR="00EE6CAC" w:rsidRDefault="00EE6CAC">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Times New Roman" w:eastAsia="黑体" w:hAnsi="Times New Roman" w:cs="Times New Roman"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1CB629AB"/>
    <w:multiLevelType w:val="multilevel"/>
    <w:tmpl w:val="1CB629AB"/>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6E841FF0"/>
    <w:multiLevelType w:val="multilevel"/>
    <w:tmpl w:val="6E841F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9"/>
  </w:num>
  <w:num w:numId="5">
    <w:abstractNumId w:val="1"/>
  </w:num>
  <w:num w:numId="6">
    <w:abstractNumId w:val="6"/>
  </w:num>
  <w:num w:numId="7">
    <w:abstractNumId w:val="5"/>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7CB"/>
    <w:rsid w:val="00011B0F"/>
    <w:rsid w:val="00012E89"/>
    <w:rsid w:val="00013735"/>
    <w:rsid w:val="00015154"/>
    <w:rsid w:val="00015A3B"/>
    <w:rsid w:val="00015BFB"/>
    <w:rsid w:val="00015EDB"/>
    <w:rsid w:val="00016342"/>
    <w:rsid w:val="00026E93"/>
    <w:rsid w:val="00035796"/>
    <w:rsid w:val="00042B43"/>
    <w:rsid w:val="00042E39"/>
    <w:rsid w:val="0004491B"/>
    <w:rsid w:val="00064D22"/>
    <w:rsid w:val="000658C9"/>
    <w:rsid w:val="000777BE"/>
    <w:rsid w:val="00080105"/>
    <w:rsid w:val="00084800"/>
    <w:rsid w:val="00093915"/>
    <w:rsid w:val="0009787C"/>
    <w:rsid w:val="000A0061"/>
    <w:rsid w:val="000A6B3B"/>
    <w:rsid w:val="000B63CC"/>
    <w:rsid w:val="000B6F2B"/>
    <w:rsid w:val="000C217B"/>
    <w:rsid w:val="000C7C50"/>
    <w:rsid w:val="000D07D4"/>
    <w:rsid w:val="000D26FB"/>
    <w:rsid w:val="000E501F"/>
    <w:rsid w:val="000F3475"/>
    <w:rsid w:val="000F65FF"/>
    <w:rsid w:val="000F72AD"/>
    <w:rsid w:val="001034DA"/>
    <w:rsid w:val="0010617D"/>
    <w:rsid w:val="001163CA"/>
    <w:rsid w:val="00133194"/>
    <w:rsid w:val="00140557"/>
    <w:rsid w:val="001452CB"/>
    <w:rsid w:val="001506E9"/>
    <w:rsid w:val="001663B3"/>
    <w:rsid w:val="00166DD7"/>
    <w:rsid w:val="001674E9"/>
    <w:rsid w:val="00172A27"/>
    <w:rsid w:val="00190F82"/>
    <w:rsid w:val="0019443E"/>
    <w:rsid w:val="0019599C"/>
    <w:rsid w:val="001B41A9"/>
    <w:rsid w:val="001B6A16"/>
    <w:rsid w:val="001C396E"/>
    <w:rsid w:val="001E4ADD"/>
    <w:rsid w:val="001E68D2"/>
    <w:rsid w:val="00200427"/>
    <w:rsid w:val="002040EC"/>
    <w:rsid w:val="00204BEB"/>
    <w:rsid w:val="00217072"/>
    <w:rsid w:val="00217F41"/>
    <w:rsid w:val="002217CD"/>
    <w:rsid w:val="002254E5"/>
    <w:rsid w:val="00235CA8"/>
    <w:rsid w:val="002460EB"/>
    <w:rsid w:val="00266EB2"/>
    <w:rsid w:val="0026734A"/>
    <w:rsid w:val="00272E7B"/>
    <w:rsid w:val="00291E13"/>
    <w:rsid w:val="00292BDC"/>
    <w:rsid w:val="0029479C"/>
    <w:rsid w:val="002A1851"/>
    <w:rsid w:val="002A24E4"/>
    <w:rsid w:val="002B2CDA"/>
    <w:rsid w:val="002B3F85"/>
    <w:rsid w:val="002B4EB7"/>
    <w:rsid w:val="002B532D"/>
    <w:rsid w:val="002C06E5"/>
    <w:rsid w:val="002C1973"/>
    <w:rsid w:val="002C39E2"/>
    <w:rsid w:val="002D37B3"/>
    <w:rsid w:val="002F25AA"/>
    <w:rsid w:val="00303048"/>
    <w:rsid w:val="00311DAC"/>
    <w:rsid w:val="00326050"/>
    <w:rsid w:val="00331B1C"/>
    <w:rsid w:val="00331EF2"/>
    <w:rsid w:val="00334743"/>
    <w:rsid w:val="00354570"/>
    <w:rsid w:val="003548FE"/>
    <w:rsid w:val="00355D1A"/>
    <w:rsid w:val="003565E9"/>
    <w:rsid w:val="00365D66"/>
    <w:rsid w:val="00367434"/>
    <w:rsid w:val="00367EF9"/>
    <w:rsid w:val="00370C23"/>
    <w:rsid w:val="00371CBB"/>
    <w:rsid w:val="00375A07"/>
    <w:rsid w:val="003766C6"/>
    <w:rsid w:val="00377BC5"/>
    <w:rsid w:val="00380742"/>
    <w:rsid w:val="00381EDA"/>
    <w:rsid w:val="00396ADB"/>
    <w:rsid w:val="003A103D"/>
    <w:rsid w:val="003A7E56"/>
    <w:rsid w:val="003B1149"/>
    <w:rsid w:val="003B217C"/>
    <w:rsid w:val="003C11E5"/>
    <w:rsid w:val="003C31D2"/>
    <w:rsid w:val="003D1DD7"/>
    <w:rsid w:val="003D2C54"/>
    <w:rsid w:val="003E3446"/>
    <w:rsid w:val="003E38AE"/>
    <w:rsid w:val="003E4BBB"/>
    <w:rsid w:val="003E4FEE"/>
    <w:rsid w:val="003F4FBC"/>
    <w:rsid w:val="0041502B"/>
    <w:rsid w:val="004265D0"/>
    <w:rsid w:val="004326F4"/>
    <w:rsid w:val="00441FB9"/>
    <w:rsid w:val="00443103"/>
    <w:rsid w:val="0044362B"/>
    <w:rsid w:val="00452AB6"/>
    <w:rsid w:val="00453986"/>
    <w:rsid w:val="0045623B"/>
    <w:rsid w:val="00461AA7"/>
    <w:rsid w:val="00462DF1"/>
    <w:rsid w:val="00476112"/>
    <w:rsid w:val="00483003"/>
    <w:rsid w:val="004834D4"/>
    <w:rsid w:val="00493873"/>
    <w:rsid w:val="00496216"/>
    <w:rsid w:val="004A5821"/>
    <w:rsid w:val="004C05FA"/>
    <w:rsid w:val="004C1151"/>
    <w:rsid w:val="004C7FE3"/>
    <w:rsid w:val="004D0363"/>
    <w:rsid w:val="004F1990"/>
    <w:rsid w:val="004F342B"/>
    <w:rsid w:val="004F7324"/>
    <w:rsid w:val="00500199"/>
    <w:rsid w:val="00503141"/>
    <w:rsid w:val="00517339"/>
    <w:rsid w:val="005212D2"/>
    <w:rsid w:val="005228C9"/>
    <w:rsid w:val="00522A39"/>
    <w:rsid w:val="00525ABF"/>
    <w:rsid w:val="0052624F"/>
    <w:rsid w:val="005420CA"/>
    <w:rsid w:val="005436CE"/>
    <w:rsid w:val="005439D4"/>
    <w:rsid w:val="00546231"/>
    <w:rsid w:val="005650A3"/>
    <w:rsid w:val="00566FDE"/>
    <w:rsid w:val="005802EF"/>
    <w:rsid w:val="005813DA"/>
    <w:rsid w:val="00583697"/>
    <w:rsid w:val="0058704C"/>
    <w:rsid w:val="00594202"/>
    <w:rsid w:val="00594E48"/>
    <w:rsid w:val="00597ADE"/>
    <w:rsid w:val="005B065E"/>
    <w:rsid w:val="005B1CD4"/>
    <w:rsid w:val="005C0F68"/>
    <w:rsid w:val="005C47EF"/>
    <w:rsid w:val="005D14DB"/>
    <w:rsid w:val="005E6D49"/>
    <w:rsid w:val="005E7DF7"/>
    <w:rsid w:val="005F1A12"/>
    <w:rsid w:val="005F34D6"/>
    <w:rsid w:val="005F38D1"/>
    <w:rsid w:val="005F3D0F"/>
    <w:rsid w:val="00602586"/>
    <w:rsid w:val="0062153B"/>
    <w:rsid w:val="0062167D"/>
    <w:rsid w:val="00633C6F"/>
    <w:rsid w:val="0063757E"/>
    <w:rsid w:val="006432A2"/>
    <w:rsid w:val="00643612"/>
    <w:rsid w:val="00645E5F"/>
    <w:rsid w:val="00671B8B"/>
    <w:rsid w:val="00677C91"/>
    <w:rsid w:val="0068648D"/>
    <w:rsid w:val="006970AA"/>
    <w:rsid w:val="006A072C"/>
    <w:rsid w:val="006B021A"/>
    <w:rsid w:val="006B10CB"/>
    <w:rsid w:val="006B2721"/>
    <w:rsid w:val="006B63E2"/>
    <w:rsid w:val="006C1ED6"/>
    <w:rsid w:val="006C61BF"/>
    <w:rsid w:val="006D3CB8"/>
    <w:rsid w:val="006D42B1"/>
    <w:rsid w:val="006E13F6"/>
    <w:rsid w:val="006E3C24"/>
    <w:rsid w:val="006E4773"/>
    <w:rsid w:val="006E69D1"/>
    <w:rsid w:val="006F0B4C"/>
    <w:rsid w:val="006F284E"/>
    <w:rsid w:val="006F7D0E"/>
    <w:rsid w:val="00700AF2"/>
    <w:rsid w:val="00702A6E"/>
    <w:rsid w:val="0070654E"/>
    <w:rsid w:val="00711D48"/>
    <w:rsid w:val="00712A5E"/>
    <w:rsid w:val="00713810"/>
    <w:rsid w:val="007166E8"/>
    <w:rsid w:val="007347A5"/>
    <w:rsid w:val="0074089D"/>
    <w:rsid w:val="00746009"/>
    <w:rsid w:val="007476DD"/>
    <w:rsid w:val="00751A1E"/>
    <w:rsid w:val="00772085"/>
    <w:rsid w:val="00781710"/>
    <w:rsid w:val="00795FC2"/>
    <w:rsid w:val="007A0C1E"/>
    <w:rsid w:val="007A24B9"/>
    <w:rsid w:val="007A5CFF"/>
    <w:rsid w:val="007B0734"/>
    <w:rsid w:val="007B379C"/>
    <w:rsid w:val="007B6D64"/>
    <w:rsid w:val="007C4C91"/>
    <w:rsid w:val="007C6A0A"/>
    <w:rsid w:val="007E53B8"/>
    <w:rsid w:val="007F5FF3"/>
    <w:rsid w:val="007F6B9D"/>
    <w:rsid w:val="008026B7"/>
    <w:rsid w:val="00812554"/>
    <w:rsid w:val="008135A5"/>
    <w:rsid w:val="00817DE9"/>
    <w:rsid w:val="00825A92"/>
    <w:rsid w:val="00830ED1"/>
    <w:rsid w:val="00832C17"/>
    <w:rsid w:val="00847916"/>
    <w:rsid w:val="00856229"/>
    <w:rsid w:val="008615F3"/>
    <w:rsid w:val="00862777"/>
    <w:rsid w:val="008632D8"/>
    <w:rsid w:val="008650A2"/>
    <w:rsid w:val="0087435E"/>
    <w:rsid w:val="008776C3"/>
    <w:rsid w:val="00880E89"/>
    <w:rsid w:val="008830C7"/>
    <w:rsid w:val="00894AD9"/>
    <w:rsid w:val="00895C07"/>
    <w:rsid w:val="008A0205"/>
    <w:rsid w:val="008A05C1"/>
    <w:rsid w:val="008B1BC6"/>
    <w:rsid w:val="008B7017"/>
    <w:rsid w:val="008B7CB0"/>
    <w:rsid w:val="008B7DB1"/>
    <w:rsid w:val="008C1A97"/>
    <w:rsid w:val="008C3050"/>
    <w:rsid w:val="008C329B"/>
    <w:rsid w:val="008C72D3"/>
    <w:rsid w:val="008C73B3"/>
    <w:rsid w:val="008D1D47"/>
    <w:rsid w:val="008D230F"/>
    <w:rsid w:val="008D38A0"/>
    <w:rsid w:val="008D54B2"/>
    <w:rsid w:val="008E0B96"/>
    <w:rsid w:val="008E587D"/>
    <w:rsid w:val="008E617E"/>
    <w:rsid w:val="008F11DE"/>
    <w:rsid w:val="0090147B"/>
    <w:rsid w:val="00907CB9"/>
    <w:rsid w:val="009125C1"/>
    <w:rsid w:val="0091556B"/>
    <w:rsid w:val="00923623"/>
    <w:rsid w:val="00926E20"/>
    <w:rsid w:val="00930332"/>
    <w:rsid w:val="00931643"/>
    <w:rsid w:val="00933B85"/>
    <w:rsid w:val="00942505"/>
    <w:rsid w:val="00953CDD"/>
    <w:rsid w:val="00953CDE"/>
    <w:rsid w:val="0096044C"/>
    <w:rsid w:val="009612C5"/>
    <w:rsid w:val="00971267"/>
    <w:rsid w:val="009864C8"/>
    <w:rsid w:val="009917E6"/>
    <w:rsid w:val="00992CAA"/>
    <w:rsid w:val="0099436F"/>
    <w:rsid w:val="009944AA"/>
    <w:rsid w:val="009953DB"/>
    <w:rsid w:val="009C4832"/>
    <w:rsid w:val="009C5508"/>
    <w:rsid w:val="009D0920"/>
    <w:rsid w:val="009D1C4D"/>
    <w:rsid w:val="009D1E4F"/>
    <w:rsid w:val="009D3E62"/>
    <w:rsid w:val="009E3CEF"/>
    <w:rsid w:val="00A027EF"/>
    <w:rsid w:val="00A02943"/>
    <w:rsid w:val="00A03B7D"/>
    <w:rsid w:val="00A06031"/>
    <w:rsid w:val="00A12F88"/>
    <w:rsid w:val="00A14FF2"/>
    <w:rsid w:val="00A15FD1"/>
    <w:rsid w:val="00A4166A"/>
    <w:rsid w:val="00A46CC4"/>
    <w:rsid w:val="00A54D0B"/>
    <w:rsid w:val="00A57F9E"/>
    <w:rsid w:val="00A669D4"/>
    <w:rsid w:val="00A8126A"/>
    <w:rsid w:val="00A878AE"/>
    <w:rsid w:val="00A92636"/>
    <w:rsid w:val="00A941B0"/>
    <w:rsid w:val="00AA6E04"/>
    <w:rsid w:val="00AB21DC"/>
    <w:rsid w:val="00AC19F6"/>
    <w:rsid w:val="00AD4752"/>
    <w:rsid w:val="00AE5669"/>
    <w:rsid w:val="00AF7C15"/>
    <w:rsid w:val="00B35BD3"/>
    <w:rsid w:val="00B61CE0"/>
    <w:rsid w:val="00B66332"/>
    <w:rsid w:val="00B75373"/>
    <w:rsid w:val="00B810DE"/>
    <w:rsid w:val="00B81A6F"/>
    <w:rsid w:val="00B87930"/>
    <w:rsid w:val="00B9484C"/>
    <w:rsid w:val="00B95736"/>
    <w:rsid w:val="00BA715F"/>
    <w:rsid w:val="00BC22AE"/>
    <w:rsid w:val="00BD47B2"/>
    <w:rsid w:val="00BD52A6"/>
    <w:rsid w:val="00BD6309"/>
    <w:rsid w:val="00BE559C"/>
    <w:rsid w:val="00BE5C1A"/>
    <w:rsid w:val="00BE5EFB"/>
    <w:rsid w:val="00BE641D"/>
    <w:rsid w:val="00BF04BF"/>
    <w:rsid w:val="00BF1E7C"/>
    <w:rsid w:val="00BF4B0E"/>
    <w:rsid w:val="00C00309"/>
    <w:rsid w:val="00C039ED"/>
    <w:rsid w:val="00C073E1"/>
    <w:rsid w:val="00C134B6"/>
    <w:rsid w:val="00C137DB"/>
    <w:rsid w:val="00C166BC"/>
    <w:rsid w:val="00C17EF0"/>
    <w:rsid w:val="00C239A8"/>
    <w:rsid w:val="00C23EBF"/>
    <w:rsid w:val="00C27740"/>
    <w:rsid w:val="00C37341"/>
    <w:rsid w:val="00C406CC"/>
    <w:rsid w:val="00C51FCC"/>
    <w:rsid w:val="00C57F2A"/>
    <w:rsid w:val="00C637DC"/>
    <w:rsid w:val="00C66968"/>
    <w:rsid w:val="00C67B31"/>
    <w:rsid w:val="00C67F5E"/>
    <w:rsid w:val="00C774C8"/>
    <w:rsid w:val="00C77FEA"/>
    <w:rsid w:val="00C91D7F"/>
    <w:rsid w:val="00CA1DBD"/>
    <w:rsid w:val="00CA51B3"/>
    <w:rsid w:val="00CA6701"/>
    <w:rsid w:val="00CB2B6E"/>
    <w:rsid w:val="00CB6453"/>
    <w:rsid w:val="00CB7131"/>
    <w:rsid w:val="00CB7CC5"/>
    <w:rsid w:val="00CC4532"/>
    <w:rsid w:val="00CD29F4"/>
    <w:rsid w:val="00CD3761"/>
    <w:rsid w:val="00CD71E1"/>
    <w:rsid w:val="00CE1AD7"/>
    <w:rsid w:val="00CF6471"/>
    <w:rsid w:val="00D01D40"/>
    <w:rsid w:val="00D11131"/>
    <w:rsid w:val="00D20A97"/>
    <w:rsid w:val="00D26B1F"/>
    <w:rsid w:val="00D40D43"/>
    <w:rsid w:val="00D416C8"/>
    <w:rsid w:val="00D45FCD"/>
    <w:rsid w:val="00D50681"/>
    <w:rsid w:val="00D50800"/>
    <w:rsid w:val="00D5574F"/>
    <w:rsid w:val="00D62C07"/>
    <w:rsid w:val="00D70ECB"/>
    <w:rsid w:val="00D9619E"/>
    <w:rsid w:val="00DA1F59"/>
    <w:rsid w:val="00DA5F51"/>
    <w:rsid w:val="00DB0ACF"/>
    <w:rsid w:val="00DB1073"/>
    <w:rsid w:val="00DB6BD7"/>
    <w:rsid w:val="00DC0AB2"/>
    <w:rsid w:val="00DC0F8B"/>
    <w:rsid w:val="00DD3C75"/>
    <w:rsid w:val="00DD4B55"/>
    <w:rsid w:val="00DF1617"/>
    <w:rsid w:val="00E06B21"/>
    <w:rsid w:val="00E167F1"/>
    <w:rsid w:val="00E2140B"/>
    <w:rsid w:val="00E31E1F"/>
    <w:rsid w:val="00E40569"/>
    <w:rsid w:val="00E40E07"/>
    <w:rsid w:val="00E56DD3"/>
    <w:rsid w:val="00E61B28"/>
    <w:rsid w:val="00E62A3D"/>
    <w:rsid w:val="00E67314"/>
    <w:rsid w:val="00E7336C"/>
    <w:rsid w:val="00E75926"/>
    <w:rsid w:val="00E77887"/>
    <w:rsid w:val="00E817AF"/>
    <w:rsid w:val="00E857BF"/>
    <w:rsid w:val="00E85B8C"/>
    <w:rsid w:val="00EA4E8D"/>
    <w:rsid w:val="00EA62E5"/>
    <w:rsid w:val="00EA76D3"/>
    <w:rsid w:val="00EB3AAE"/>
    <w:rsid w:val="00EC0827"/>
    <w:rsid w:val="00EC3F65"/>
    <w:rsid w:val="00EE2CF6"/>
    <w:rsid w:val="00EE6CAC"/>
    <w:rsid w:val="00F01154"/>
    <w:rsid w:val="00F4095D"/>
    <w:rsid w:val="00F40E52"/>
    <w:rsid w:val="00F60223"/>
    <w:rsid w:val="00F765F4"/>
    <w:rsid w:val="00F82AFD"/>
    <w:rsid w:val="00F958CC"/>
    <w:rsid w:val="00F97C0B"/>
    <w:rsid w:val="00FA359D"/>
    <w:rsid w:val="00FA3BED"/>
    <w:rsid w:val="00FA552B"/>
    <w:rsid w:val="00FA62E6"/>
    <w:rsid w:val="00FB5ABE"/>
    <w:rsid w:val="00FD2DE4"/>
    <w:rsid w:val="00FE01EF"/>
    <w:rsid w:val="00FE4365"/>
    <w:rsid w:val="00FF0673"/>
    <w:rsid w:val="00FF1E19"/>
    <w:rsid w:val="00FF2B35"/>
    <w:rsid w:val="00FF2D5B"/>
    <w:rsid w:val="01166C39"/>
    <w:rsid w:val="011C748B"/>
    <w:rsid w:val="01307DB8"/>
    <w:rsid w:val="01764F01"/>
    <w:rsid w:val="019E0494"/>
    <w:rsid w:val="01BC6EAA"/>
    <w:rsid w:val="01BD387A"/>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4D4861"/>
    <w:rsid w:val="035F75A4"/>
    <w:rsid w:val="037B5FB5"/>
    <w:rsid w:val="03915DEB"/>
    <w:rsid w:val="03985ACE"/>
    <w:rsid w:val="03D4716A"/>
    <w:rsid w:val="042900C9"/>
    <w:rsid w:val="04A45057"/>
    <w:rsid w:val="04EE0CCB"/>
    <w:rsid w:val="05126148"/>
    <w:rsid w:val="0555228E"/>
    <w:rsid w:val="055870D1"/>
    <w:rsid w:val="056C3AED"/>
    <w:rsid w:val="058A1330"/>
    <w:rsid w:val="059D1E39"/>
    <w:rsid w:val="05E078B3"/>
    <w:rsid w:val="064035FC"/>
    <w:rsid w:val="066A2ACD"/>
    <w:rsid w:val="066F1ED1"/>
    <w:rsid w:val="06D01934"/>
    <w:rsid w:val="070C599D"/>
    <w:rsid w:val="07250881"/>
    <w:rsid w:val="072B5A2B"/>
    <w:rsid w:val="07322F8B"/>
    <w:rsid w:val="07587973"/>
    <w:rsid w:val="075E42FF"/>
    <w:rsid w:val="077D0583"/>
    <w:rsid w:val="077E373B"/>
    <w:rsid w:val="079724D0"/>
    <w:rsid w:val="07A3082E"/>
    <w:rsid w:val="08146476"/>
    <w:rsid w:val="082A352F"/>
    <w:rsid w:val="084343C9"/>
    <w:rsid w:val="084D0ADD"/>
    <w:rsid w:val="084E1E18"/>
    <w:rsid w:val="08581907"/>
    <w:rsid w:val="088E2DBB"/>
    <w:rsid w:val="089D5DBC"/>
    <w:rsid w:val="08B05670"/>
    <w:rsid w:val="08C349D1"/>
    <w:rsid w:val="08C805D7"/>
    <w:rsid w:val="08CC0D13"/>
    <w:rsid w:val="09082337"/>
    <w:rsid w:val="093D6246"/>
    <w:rsid w:val="094A5FC4"/>
    <w:rsid w:val="09507748"/>
    <w:rsid w:val="0993533A"/>
    <w:rsid w:val="09BE4947"/>
    <w:rsid w:val="09EA0515"/>
    <w:rsid w:val="09F67CD5"/>
    <w:rsid w:val="0A0957E1"/>
    <w:rsid w:val="0A7B50B4"/>
    <w:rsid w:val="0A8A3FFF"/>
    <w:rsid w:val="0AA615D8"/>
    <w:rsid w:val="0ACD04EF"/>
    <w:rsid w:val="0AD3248D"/>
    <w:rsid w:val="0B2A6186"/>
    <w:rsid w:val="0B3D5147"/>
    <w:rsid w:val="0B6B20A7"/>
    <w:rsid w:val="0B9E71DF"/>
    <w:rsid w:val="0BB427D1"/>
    <w:rsid w:val="0BCD5C26"/>
    <w:rsid w:val="0BF10670"/>
    <w:rsid w:val="0C46396D"/>
    <w:rsid w:val="0C6F272A"/>
    <w:rsid w:val="0C9036C8"/>
    <w:rsid w:val="0C9D30C2"/>
    <w:rsid w:val="0CA126F2"/>
    <w:rsid w:val="0CA646D0"/>
    <w:rsid w:val="0CEA509E"/>
    <w:rsid w:val="0D2F3891"/>
    <w:rsid w:val="0D426E1A"/>
    <w:rsid w:val="0D7B6847"/>
    <w:rsid w:val="0D823D14"/>
    <w:rsid w:val="0D9D65F4"/>
    <w:rsid w:val="0DEE7CA5"/>
    <w:rsid w:val="0DFC64AC"/>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D80B60"/>
    <w:rsid w:val="0FDB5B48"/>
    <w:rsid w:val="10860503"/>
    <w:rsid w:val="109076CE"/>
    <w:rsid w:val="10A50104"/>
    <w:rsid w:val="10A85FA8"/>
    <w:rsid w:val="10B658BE"/>
    <w:rsid w:val="10BA5ACA"/>
    <w:rsid w:val="10C92880"/>
    <w:rsid w:val="10FA22E3"/>
    <w:rsid w:val="11565F46"/>
    <w:rsid w:val="115B3410"/>
    <w:rsid w:val="117A531D"/>
    <w:rsid w:val="119D7849"/>
    <w:rsid w:val="11AC1F75"/>
    <w:rsid w:val="122658B9"/>
    <w:rsid w:val="1242135C"/>
    <w:rsid w:val="1256212E"/>
    <w:rsid w:val="12770F03"/>
    <w:rsid w:val="12836E1B"/>
    <w:rsid w:val="12AE3906"/>
    <w:rsid w:val="12C76FC6"/>
    <w:rsid w:val="12CB14EC"/>
    <w:rsid w:val="12D00DD7"/>
    <w:rsid w:val="12F04823"/>
    <w:rsid w:val="13344428"/>
    <w:rsid w:val="133C5CE2"/>
    <w:rsid w:val="133E78E9"/>
    <w:rsid w:val="133F535B"/>
    <w:rsid w:val="13660260"/>
    <w:rsid w:val="136C3D77"/>
    <w:rsid w:val="139D335C"/>
    <w:rsid w:val="13A1683F"/>
    <w:rsid w:val="13C2790D"/>
    <w:rsid w:val="13E5601F"/>
    <w:rsid w:val="14084ECC"/>
    <w:rsid w:val="14197978"/>
    <w:rsid w:val="141B6583"/>
    <w:rsid w:val="14400B3F"/>
    <w:rsid w:val="1442596B"/>
    <w:rsid w:val="144714E3"/>
    <w:rsid w:val="146853FE"/>
    <w:rsid w:val="146A0337"/>
    <w:rsid w:val="14AC00B9"/>
    <w:rsid w:val="14D55B5C"/>
    <w:rsid w:val="14DA3DA1"/>
    <w:rsid w:val="14EE199C"/>
    <w:rsid w:val="14FC2402"/>
    <w:rsid w:val="15010D0F"/>
    <w:rsid w:val="1505370E"/>
    <w:rsid w:val="15284EB8"/>
    <w:rsid w:val="155F3495"/>
    <w:rsid w:val="156D495A"/>
    <w:rsid w:val="15715C2E"/>
    <w:rsid w:val="15BB7E2E"/>
    <w:rsid w:val="16444A69"/>
    <w:rsid w:val="164B2296"/>
    <w:rsid w:val="166306B6"/>
    <w:rsid w:val="16AF6E20"/>
    <w:rsid w:val="16FF3CA8"/>
    <w:rsid w:val="17025890"/>
    <w:rsid w:val="17155857"/>
    <w:rsid w:val="173B456E"/>
    <w:rsid w:val="17950508"/>
    <w:rsid w:val="17C72718"/>
    <w:rsid w:val="17ED4CC9"/>
    <w:rsid w:val="18537599"/>
    <w:rsid w:val="18551679"/>
    <w:rsid w:val="188D68E8"/>
    <w:rsid w:val="189C69D9"/>
    <w:rsid w:val="18A34D06"/>
    <w:rsid w:val="18A72928"/>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644EE3"/>
    <w:rsid w:val="1ACB6909"/>
    <w:rsid w:val="1B0152D1"/>
    <w:rsid w:val="1B2B6940"/>
    <w:rsid w:val="1B5838BD"/>
    <w:rsid w:val="1B7F6005"/>
    <w:rsid w:val="1BA05608"/>
    <w:rsid w:val="1BAF4E35"/>
    <w:rsid w:val="1BAF6DD1"/>
    <w:rsid w:val="1BBE3C0E"/>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A333E"/>
    <w:rsid w:val="1EED420F"/>
    <w:rsid w:val="1EF17B6F"/>
    <w:rsid w:val="1F4C62AC"/>
    <w:rsid w:val="1F6170A9"/>
    <w:rsid w:val="1F6200DE"/>
    <w:rsid w:val="1F652C38"/>
    <w:rsid w:val="1F9C5BBE"/>
    <w:rsid w:val="1FA23A51"/>
    <w:rsid w:val="1FC21C25"/>
    <w:rsid w:val="1FD14046"/>
    <w:rsid w:val="1FE14460"/>
    <w:rsid w:val="20200CA4"/>
    <w:rsid w:val="202C275A"/>
    <w:rsid w:val="203063E1"/>
    <w:rsid w:val="204E6676"/>
    <w:rsid w:val="205C6F65"/>
    <w:rsid w:val="205F334B"/>
    <w:rsid w:val="206C395B"/>
    <w:rsid w:val="20920951"/>
    <w:rsid w:val="20AA7DFE"/>
    <w:rsid w:val="20CB576A"/>
    <w:rsid w:val="20DC4C14"/>
    <w:rsid w:val="210634E6"/>
    <w:rsid w:val="21241A3D"/>
    <w:rsid w:val="21292D01"/>
    <w:rsid w:val="215329D3"/>
    <w:rsid w:val="215416B9"/>
    <w:rsid w:val="21822343"/>
    <w:rsid w:val="2194141D"/>
    <w:rsid w:val="2195668B"/>
    <w:rsid w:val="21A2535F"/>
    <w:rsid w:val="21A9601A"/>
    <w:rsid w:val="21AC0BE7"/>
    <w:rsid w:val="21BE044A"/>
    <w:rsid w:val="21BE5AD4"/>
    <w:rsid w:val="21C347A3"/>
    <w:rsid w:val="21CA2BAC"/>
    <w:rsid w:val="21EB0F17"/>
    <w:rsid w:val="220D1DB4"/>
    <w:rsid w:val="224E2FB0"/>
    <w:rsid w:val="228860D2"/>
    <w:rsid w:val="22C67434"/>
    <w:rsid w:val="22C84A78"/>
    <w:rsid w:val="23081A49"/>
    <w:rsid w:val="231D3FCC"/>
    <w:rsid w:val="23460B97"/>
    <w:rsid w:val="23A82A04"/>
    <w:rsid w:val="23D11AFC"/>
    <w:rsid w:val="24210188"/>
    <w:rsid w:val="243066C8"/>
    <w:rsid w:val="2433090C"/>
    <w:rsid w:val="24582DBC"/>
    <w:rsid w:val="245C52F8"/>
    <w:rsid w:val="245E5D40"/>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6A62E7"/>
    <w:rsid w:val="267E150F"/>
    <w:rsid w:val="26805650"/>
    <w:rsid w:val="26BF5712"/>
    <w:rsid w:val="26C46931"/>
    <w:rsid w:val="26F173AA"/>
    <w:rsid w:val="26F24A28"/>
    <w:rsid w:val="26F71EC7"/>
    <w:rsid w:val="274120CE"/>
    <w:rsid w:val="276D22A6"/>
    <w:rsid w:val="27805ED2"/>
    <w:rsid w:val="27A662C6"/>
    <w:rsid w:val="27AB7429"/>
    <w:rsid w:val="27B806C7"/>
    <w:rsid w:val="27C0593E"/>
    <w:rsid w:val="27F46C2F"/>
    <w:rsid w:val="27F713BD"/>
    <w:rsid w:val="28020A53"/>
    <w:rsid w:val="280D0ABD"/>
    <w:rsid w:val="281418B3"/>
    <w:rsid w:val="285C053E"/>
    <w:rsid w:val="28641BC7"/>
    <w:rsid w:val="28706B14"/>
    <w:rsid w:val="28795D57"/>
    <w:rsid w:val="28CB2F20"/>
    <w:rsid w:val="290A7633"/>
    <w:rsid w:val="293A5073"/>
    <w:rsid w:val="2945677B"/>
    <w:rsid w:val="296A164B"/>
    <w:rsid w:val="297D0F5C"/>
    <w:rsid w:val="299711A3"/>
    <w:rsid w:val="29A74859"/>
    <w:rsid w:val="29FA7F26"/>
    <w:rsid w:val="2A0F0262"/>
    <w:rsid w:val="2A11490E"/>
    <w:rsid w:val="2A24123C"/>
    <w:rsid w:val="2A7903F8"/>
    <w:rsid w:val="2A9E41A6"/>
    <w:rsid w:val="2AD176E8"/>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2183C"/>
    <w:rsid w:val="2D036243"/>
    <w:rsid w:val="2D11052F"/>
    <w:rsid w:val="2D2713FE"/>
    <w:rsid w:val="2D44389F"/>
    <w:rsid w:val="2D644464"/>
    <w:rsid w:val="2D8B0DDB"/>
    <w:rsid w:val="2DAA1531"/>
    <w:rsid w:val="2DD31482"/>
    <w:rsid w:val="2DED4837"/>
    <w:rsid w:val="2DF81D7C"/>
    <w:rsid w:val="2DFC12C6"/>
    <w:rsid w:val="2E592BD6"/>
    <w:rsid w:val="2E9F709C"/>
    <w:rsid w:val="2EA606EB"/>
    <w:rsid w:val="2ED53BA8"/>
    <w:rsid w:val="2EED0A13"/>
    <w:rsid w:val="2F031089"/>
    <w:rsid w:val="2F1251F2"/>
    <w:rsid w:val="2F404E55"/>
    <w:rsid w:val="2F65609A"/>
    <w:rsid w:val="2FBD09F9"/>
    <w:rsid w:val="300B4508"/>
    <w:rsid w:val="30660B82"/>
    <w:rsid w:val="30962F3E"/>
    <w:rsid w:val="309F648F"/>
    <w:rsid w:val="30AA51DE"/>
    <w:rsid w:val="30B43BCB"/>
    <w:rsid w:val="30D17E68"/>
    <w:rsid w:val="30E43B67"/>
    <w:rsid w:val="30F776DB"/>
    <w:rsid w:val="30FF2795"/>
    <w:rsid w:val="310E3D65"/>
    <w:rsid w:val="31481061"/>
    <w:rsid w:val="315B1DD7"/>
    <w:rsid w:val="3164591C"/>
    <w:rsid w:val="317F78A7"/>
    <w:rsid w:val="3199741D"/>
    <w:rsid w:val="31A561FB"/>
    <w:rsid w:val="31AA2223"/>
    <w:rsid w:val="31C32453"/>
    <w:rsid w:val="31C63526"/>
    <w:rsid w:val="31FD180E"/>
    <w:rsid w:val="320B4CF3"/>
    <w:rsid w:val="3214373A"/>
    <w:rsid w:val="32547DD1"/>
    <w:rsid w:val="32586AD3"/>
    <w:rsid w:val="327F30CF"/>
    <w:rsid w:val="329A6ACE"/>
    <w:rsid w:val="32AB75FA"/>
    <w:rsid w:val="32C64BD3"/>
    <w:rsid w:val="33490C27"/>
    <w:rsid w:val="334F3544"/>
    <w:rsid w:val="3381016B"/>
    <w:rsid w:val="33834A37"/>
    <w:rsid w:val="338C60CE"/>
    <w:rsid w:val="33A253D1"/>
    <w:rsid w:val="33FF73F9"/>
    <w:rsid w:val="34371266"/>
    <w:rsid w:val="34481409"/>
    <w:rsid w:val="345B1306"/>
    <w:rsid w:val="348D3D32"/>
    <w:rsid w:val="34A05C59"/>
    <w:rsid w:val="34C03613"/>
    <w:rsid w:val="34C215EF"/>
    <w:rsid w:val="34CB6483"/>
    <w:rsid w:val="34EC39C4"/>
    <w:rsid w:val="34FD6C75"/>
    <w:rsid w:val="35191B59"/>
    <w:rsid w:val="35431E06"/>
    <w:rsid w:val="35997ED3"/>
    <w:rsid w:val="35B0594E"/>
    <w:rsid w:val="35C47CF3"/>
    <w:rsid w:val="35D5780F"/>
    <w:rsid w:val="360673D5"/>
    <w:rsid w:val="360B1D73"/>
    <w:rsid w:val="360B7EE7"/>
    <w:rsid w:val="36157D72"/>
    <w:rsid w:val="361F3323"/>
    <w:rsid w:val="362E6074"/>
    <w:rsid w:val="364A298F"/>
    <w:rsid w:val="364A7B2B"/>
    <w:rsid w:val="3659312E"/>
    <w:rsid w:val="3681117A"/>
    <w:rsid w:val="36E93760"/>
    <w:rsid w:val="373E550A"/>
    <w:rsid w:val="3784394E"/>
    <w:rsid w:val="379B41C4"/>
    <w:rsid w:val="37A62041"/>
    <w:rsid w:val="37F25734"/>
    <w:rsid w:val="380321EF"/>
    <w:rsid w:val="380A0B96"/>
    <w:rsid w:val="380F1F50"/>
    <w:rsid w:val="38337F5B"/>
    <w:rsid w:val="385135F5"/>
    <w:rsid w:val="385F665C"/>
    <w:rsid w:val="388E6551"/>
    <w:rsid w:val="38AE3BB0"/>
    <w:rsid w:val="38DC5505"/>
    <w:rsid w:val="391F7D60"/>
    <w:rsid w:val="392E58B6"/>
    <w:rsid w:val="393804A6"/>
    <w:rsid w:val="39496AE3"/>
    <w:rsid w:val="397117A6"/>
    <w:rsid w:val="3985660B"/>
    <w:rsid w:val="39BB13DA"/>
    <w:rsid w:val="39DB06B3"/>
    <w:rsid w:val="39DE657F"/>
    <w:rsid w:val="39F02F21"/>
    <w:rsid w:val="3A0E7CDA"/>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8E38A4"/>
    <w:rsid w:val="3CE82456"/>
    <w:rsid w:val="3D0527AD"/>
    <w:rsid w:val="3D1229BA"/>
    <w:rsid w:val="3D1D3E8C"/>
    <w:rsid w:val="3D5B17FB"/>
    <w:rsid w:val="3D7830E2"/>
    <w:rsid w:val="3D9F080E"/>
    <w:rsid w:val="3DA8275C"/>
    <w:rsid w:val="3DAD7029"/>
    <w:rsid w:val="3DD133EE"/>
    <w:rsid w:val="3DDE6765"/>
    <w:rsid w:val="3E39525D"/>
    <w:rsid w:val="3E441C7D"/>
    <w:rsid w:val="3E786EB8"/>
    <w:rsid w:val="3E7F0554"/>
    <w:rsid w:val="3ECB2614"/>
    <w:rsid w:val="3F104E7C"/>
    <w:rsid w:val="3F105BE8"/>
    <w:rsid w:val="3F1E19C9"/>
    <w:rsid w:val="3F7C38E1"/>
    <w:rsid w:val="3F8D2B60"/>
    <w:rsid w:val="3F8F74CB"/>
    <w:rsid w:val="3FC956FF"/>
    <w:rsid w:val="400131B8"/>
    <w:rsid w:val="40151C98"/>
    <w:rsid w:val="402B196F"/>
    <w:rsid w:val="40375763"/>
    <w:rsid w:val="406B12D1"/>
    <w:rsid w:val="40903A47"/>
    <w:rsid w:val="409C0D37"/>
    <w:rsid w:val="40A36A71"/>
    <w:rsid w:val="40AE5FB4"/>
    <w:rsid w:val="40CB3E39"/>
    <w:rsid w:val="40D07704"/>
    <w:rsid w:val="40EA5ADE"/>
    <w:rsid w:val="410E4736"/>
    <w:rsid w:val="412C699E"/>
    <w:rsid w:val="412D4B03"/>
    <w:rsid w:val="414D38DC"/>
    <w:rsid w:val="4169226D"/>
    <w:rsid w:val="419752E1"/>
    <w:rsid w:val="41A14CA0"/>
    <w:rsid w:val="41A167F9"/>
    <w:rsid w:val="41BC286E"/>
    <w:rsid w:val="41C577BA"/>
    <w:rsid w:val="41C80CC0"/>
    <w:rsid w:val="41CF08CB"/>
    <w:rsid w:val="41D3631F"/>
    <w:rsid w:val="41F46181"/>
    <w:rsid w:val="41F466FD"/>
    <w:rsid w:val="422B0BD2"/>
    <w:rsid w:val="42380637"/>
    <w:rsid w:val="425D552F"/>
    <w:rsid w:val="427E2C9C"/>
    <w:rsid w:val="428434A1"/>
    <w:rsid w:val="42A67A24"/>
    <w:rsid w:val="42B84DF7"/>
    <w:rsid w:val="42D846B9"/>
    <w:rsid w:val="43015D68"/>
    <w:rsid w:val="432B156A"/>
    <w:rsid w:val="433817F8"/>
    <w:rsid w:val="43617068"/>
    <w:rsid w:val="43625625"/>
    <w:rsid w:val="43B97E64"/>
    <w:rsid w:val="43D54F80"/>
    <w:rsid w:val="440D5045"/>
    <w:rsid w:val="4466378D"/>
    <w:rsid w:val="446D6BBF"/>
    <w:rsid w:val="44F5724A"/>
    <w:rsid w:val="4555581D"/>
    <w:rsid w:val="457602B0"/>
    <w:rsid w:val="457D7419"/>
    <w:rsid w:val="45BE6191"/>
    <w:rsid w:val="45BF679F"/>
    <w:rsid w:val="45D946A9"/>
    <w:rsid w:val="45FE24FC"/>
    <w:rsid w:val="460C5979"/>
    <w:rsid w:val="461A19F3"/>
    <w:rsid w:val="46AC250E"/>
    <w:rsid w:val="46C56CAD"/>
    <w:rsid w:val="46D23BD7"/>
    <w:rsid w:val="46E90846"/>
    <w:rsid w:val="46FF61C2"/>
    <w:rsid w:val="473430FD"/>
    <w:rsid w:val="4740667C"/>
    <w:rsid w:val="47672D4D"/>
    <w:rsid w:val="4776027E"/>
    <w:rsid w:val="47783DDD"/>
    <w:rsid w:val="47962C48"/>
    <w:rsid w:val="47C01792"/>
    <w:rsid w:val="47C215CA"/>
    <w:rsid w:val="47D3679D"/>
    <w:rsid w:val="47DA737E"/>
    <w:rsid w:val="47E73D60"/>
    <w:rsid w:val="47F831A1"/>
    <w:rsid w:val="4808150F"/>
    <w:rsid w:val="482E6C55"/>
    <w:rsid w:val="483841CB"/>
    <w:rsid w:val="4846727C"/>
    <w:rsid w:val="48655CDB"/>
    <w:rsid w:val="488A4F97"/>
    <w:rsid w:val="48C169FF"/>
    <w:rsid w:val="48D321B5"/>
    <w:rsid w:val="48DC6BCF"/>
    <w:rsid w:val="48FB41DF"/>
    <w:rsid w:val="4966417F"/>
    <w:rsid w:val="49701211"/>
    <w:rsid w:val="49B751BF"/>
    <w:rsid w:val="49E9233D"/>
    <w:rsid w:val="4A0E40C9"/>
    <w:rsid w:val="4A0E6621"/>
    <w:rsid w:val="4A190059"/>
    <w:rsid w:val="4A2324A9"/>
    <w:rsid w:val="4A2C54FD"/>
    <w:rsid w:val="4A3703C6"/>
    <w:rsid w:val="4AA53F85"/>
    <w:rsid w:val="4AA93BAC"/>
    <w:rsid w:val="4AAD1944"/>
    <w:rsid w:val="4AAE33DD"/>
    <w:rsid w:val="4AC31003"/>
    <w:rsid w:val="4AC66610"/>
    <w:rsid w:val="4AE57D48"/>
    <w:rsid w:val="4AE93159"/>
    <w:rsid w:val="4AF26901"/>
    <w:rsid w:val="4AF8354A"/>
    <w:rsid w:val="4B0B4636"/>
    <w:rsid w:val="4B101FF1"/>
    <w:rsid w:val="4B3B3C56"/>
    <w:rsid w:val="4B694F06"/>
    <w:rsid w:val="4B6F5171"/>
    <w:rsid w:val="4B894E29"/>
    <w:rsid w:val="4B8A38B7"/>
    <w:rsid w:val="4BD0339A"/>
    <w:rsid w:val="4BE255AD"/>
    <w:rsid w:val="4C154D1E"/>
    <w:rsid w:val="4C1E62FB"/>
    <w:rsid w:val="4C247E4A"/>
    <w:rsid w:val="4C496DB3"/>
    <w:rsid w:val="4C74387B"/>
    <w:rsid w:val="4C8E2AE9"/>
    <w:rsid w:val="4D013E3E"/>
    <w:rsid w:val="4D2455C6"/>
    <w:rsid w:val="4D462159"/>
    <w:rsid w:val="4D553300"/>
    <w:rsid w:val="4D5C5FAC"/>
    <w:rsid w:val="4D7D6E2D"/>
    <w:rsid w:val="4D8C1952"/>
    <w:rsid w:val="4DA00E6E"/>
    <w:rsid w:val="4DA94618"/>
    <w:rsid w:val="4DBE284B"/>
    <w:rsid w:val="4DC573FD"/>
    <w:rsid w:val="4DC605B6"/>
    <w:rsid w:val="4DD81D4B"/>
    <w:rsid w:val="4DEC0985"/>
    <w:rsid w:val="4DFB4F20"/>
    <w:rsid w:val="4E27683A"/>
    <w:rsid w:val="4E330987"/>
    <w:rsid w:val="4E4B286E"/>
    <w:rsid w:val="4E540431"/>
    <w:rsid w:val="4EC74CC4"/>
    <w:rsid w:val="4ECB5BE4"/>
    <w:rsid w:val="4EF32FFF"/>
    <w:rsid w:val="4F232A9C"/>
    <w:rsid w:val="4F2765B1"/>
    <w:rsid w:val="4F285975"/>
    <w:rsid w:val="4F5E2A8B"/>
    <w:rsid w:val="4F713E6C"/>
    <w:rsid w:val="4F8E43A5"/>
    <w:rsid w:val="4FBF79AC"/>
    <w:rsid w:val="4FE30CD5"/>
    <w:rsid w:val="50290C55"/>
    <w:rsid w:val="50520EBB"/>
    <w:rsid w:val="50607024"/>
    <w:rsid w:val="506A4F14"/>
    <w:rsid w:val="50701CEF"/>
    <w:rsid w:val="50751061"/>
    <w:rsid w:val="507C5FAD"/>
    <w:rsid w:val="507E3A43"/>
    <w:rsid w:val="50811400"/>
    <w:rsid w:val="50BE2993"/>
    <w:rsid w:val="50D63702"/>
    <w:rsid w:val="50F12C37"/>
    <w:rsid w:val="51101AA1"/>
    <w:rsid w:val="512F1290"/>
    <w:rsid w:val="51431C1C"/>
    <w:rsid w:val="515C4409"/>
    <w:rsid w:val="51796EDE"/>
    <w:rsid w:val="51867298"/>
    <w:rsid w:val="518D4602"/>
    <w:rsid w:val="51CF4854"/>
    <w:rsid w:val="521936F1"/>
    <w:rsid w:val="52195EDF"/>
    <w:rsid w:val="52313387"/>
    <w:rsid w:val="523C02D8"/>
    <w:rsid w:val="52480238"/>
    <w:rsid w:val="525767B4"/>
    <w:rsid w:val="525B24EE"/>
    <w:rsid w:val="52927F08"/>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220776"/>
    <w:rsid w:val="559C3368"/>
    <w:rsid w:val="55DD6F2A"/>
    <w:rsid w:val="55F60388"/>
    <w:rsid w:val="55F72D1E"/>
    <w:rsid w:val="56022FBC"/>
    <w:rsid w:val="561F01EF"/>
    <w:rsid w:val="562805B1"/>
    <w:rsid w:val="56514CF9"/>
    <w:rsid w:val="56553261"/>
    <w:rsid w:val="565975B0"/>
    <w:rsid w:val="568C4BFC"/>
    <w:rsid w:val="56B10107"/>
    <w:rsid w:val="56B41A58"/>
    <w:rsid w:val="56BC356A"/>
    <w:rsid w:val="56BD206C"/>
    <w:rsid w:val="56D02A32"/>
    <w:rsid w:val="56D577C5"/>
    <w:rsid w:val="56E23970"/>
    <w:rsid w:val="570856B7"/>
    <w:rsid w:val="57091404"/>
    <w:rsid w:val="570C22CF"/>
    <w:rsid w:val="570D1C23"/>
    <w:rsid w:val="573547FD"/>
    <w:rsid w:val="573E55FA"/>
    <w:rsid w:val="577A3C7D"/>
    <w:rsid w:val="578F220A"/>
    <w:rsid w:val="5798657F"/>
    <w:rsid w:val="579F0430"/>
    <w:rsid w:val="57B06157"/>
    <w:rsid w:val="57D503EA"/>
    <w:rsid w:val="57FC07D9"/>
    <w:rsid w:val="58500F22"/>
    <w:rsid w:val="58581669"/>
    <w:rsid w:val="58621B9F"/>
    <w:rsid w:val="586E24FB"/>
    <w:rsid w:val="58A56289"/>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02298"/>
    <w:rsid w:val="59C600B6"/>
    <w:rsid w:val="59D15A81"/>
    <w:rsid w:val="59F13672"/>
    <w:rsid w:val="5A07523D"/>
    <w:rsid w:val="5A2802D2"/>
    <w:rsid w:val="5A553984"/>
    <w:rsid w:val="5AA26A63"/>
    <w:rsid w:val="5ACF0F3A"/>
    <w:rsid w:val="5AD450DC"/>
    <w:rsid w:val="5AEE752B"/>
    <w:rsid w:val="5B7C1136"/>
    <w:rsid w:val="5B7D506F"/>
    <w:rsid w:val="5BAE4C99"/>
    <w:rsid w:val="5BD20414"/>
    <w:rsid w:val="5BF54BBF"/>
    <w:rsid w:val="5C6B1600"/>
    <w:rsid w:val="5C8B39C5"/>
    <w:rsid w:val="5C921AD0"/>
    <w:rsid w:val="5CA535D1"/>
    <w:rsid w:val="5CAF7180"/>
    <w:rsid w:val="5CC77483"/>
    <w:rsid w:val="5CCD5BE1"/>
    <w:rsid w:val="5CD94ADB"/>
    <w:rsid w:val="5CE45D66"/>
    <w:rsid w:val="5D182295"/>
    <w:rsid w:val="5D237020"/>
    <w:rsid w:val="5D3D3693"/>
    <w:rsid w:val="5D5F741C"/>
    <w:rsid w:val="5DAE151D"/>
    <w:rsid w:val="5DAF0874"/>
    <w:rsid w:val="5DC07B62"/>
    <w:rsid w:val="5DCD07B3"/>
    <w:rsid w:val="5DFD51DB"/>
    <w:rsid w:val="5E0D36E5"/>
    <w:rsid w:val="5E567AFF"/>
    <w:rsid w:val="5E7510E4"/>
    <w:rsid w:val="5EBD3AB4"/>
    <w:rsid w:val="5ED711BC"/>
    <w:rsid w:val="5F0928C0"/>
    <w:rsid w:val="5F0A3BA8"/>
    <w:rsid w:val="5F1A5A71"/>
    <w:rsid w:val="5F3D3A73"/>
    <w:rsid w:val="5F434754"/>
    <w:rsid w:val="5F8C5411"/>
    <w:rsid w:val="5F9E6C40"/>
    <w:rsid w:val="5FE87018"/>
    <w:rsid w:val="602765D8"/>
    <w:rsid w:val="602F201A"/>
    <w:rsid w:val="605F1B37"/>
    <w:rsid w:val="607C3753"/>
    <w:rsid w:val="607E6C6D"/>
    <w:rsid w:val="609578A8"/>
    <w:rsid w:val="60B07268"/>
    <w:rsid w:val="60C30855"/>
    <w:rsid w:val="60CC7FFA"/>
    <w:rsid w:val="60E63ED7"/>
    <w:rsid w:val="60F94394"/>
    <w:rsid w:val="610B17E6"/>
    <w:rsid w:val="61421EFD"/>
    <w:rsid w:val="615C2588"/>
    <w:rsid w:val="615C5041"/>
    <w:rsid w:val="61834A51"/>
    <w:rsid w:val="61D705BD"/>
    <w:rsid w:val="61DD59E8"/>
    <w:rsid w:val="61E56B7B"/>
    <w:rsid w:val="620A1E9F"/>
    <w:rsid w:val="621F4B54"/>
    <w:rsid w:val="62420984"/>
    <w:rsid w:val="626A4C35"/>
    <w:rsid w:val="626C4E5F"/>
    <w:rsid w:val="6271154E"/>
    <w:rsid w:val="627D0863"/>
    <w:rsid w:val="62B70B91"/>
    <w:rsid w:val="63206216"/>
    <w:rsid w:val="63305DFA"/>
    <w:rsid w:val="634B3A82"/>
    <w:rsid w:val="63523344"/>
    <w:rsid w:val="63560707"/>
    <w:rsid w:val="6357067F"/>
    <w:rsid w:val="63A241B2"/>
    <w:rsid w:val="63D03DEE"/>
    <w:rsid w:val="63D64F8C"/>
    <w:rsid w:val="63DD6E9C"/>
    <w:rsid w:val="641A2384"/>
    <w:rsid w:val="642167EE"/>
    <w:rsid w:val="648F07D6"/>
    <w:rsid w:val="64942803"/>
    <w:rsid w:val="64CB6601"/>
    <w:rsid w:val="64EF3666"/>
    <w:rsid w:val="64FC1880"/>
    <w:rsid w:val="65094EFF"/>
    <w:rsid w:val="651B3798"/>
    <w:rsid w:val="65370CD5"/>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82180"/>
    <w:rsid w:val="670F41E0"/>
    <w:rsid w:val="677D25E8"/>
    <w:rsid w:val="677D265C"/>
    <w:rsid w:val="678A787F"/>
    <w:rsid w:val="67AD6B3A"/>
    <w:rsid w:val="67BD0300"/>
    <w:rsid w:val="67D325C4"/>
    <w:rsid w:val="68031C5B"/>
    <w:rsid w:val="682616B3"/>
    <w:rsid w:val="682A4EAB"/>
    <w:rsid w:val="68316174"/>
    <w:rsid w:val="684D34F9"/>
    <w:rsid w:val="68601901"/>
    <w:rsid w:val="68F533A3"/>
    <w:rsid w:val="690453B7"/>
    <w:rsid w:val="690B53E9"/>
    <w:rsid w:val="690F418B"/>
    <w:rsid w:val="69261B08"/>
    <w:rsid w:val="699323D6"/>
    <w:rsid w:val="69B32313"/>
    <w:rsid w:val="69CE4429"/>
    <w:rsid w:val="6A007B68"/>
    <w:rsid w:val="6A0409C8"/>
    <w:rsid w:val="6A700D2B"/>
    <w:rsid w:val="6A741183"/>
    <w:rsid w:val="6A7A2736"/>
    <w:rsid w:val="6A7B4B9C"/>
    <w:rsid w:val="6AA651A8"/>
    <w:rsid w:val="6AB70722"/>
    <w:rsid w:val="6AEB121D"/>
    <w:rsid w:val="6AFB78C4"/>
    <w:rsid w:val="6B004CFA"/>
    <w:rsid w:val="6B120A68"/>
    <w:rsid w:val="6B586E1F"/>
    <w:rsid w:val="6BA33532"/>
    <w:rsid w:val="6BAF5652"/>
    <w:rsid w:val="6C6F4FDA"/>
    <w:rsid w:val="6C842D27"/>
    <w:rsid w:val="6C89456C"/>
    <w:rsid w:val="6C9C494D"/>
    <w:rsid w:val="6CA35C83"/>
    <w:rsid w:val="6CA52710"/>
    <w:rsid w:val="6CAC58B4"/>
    <w:rsid w:val="6D2A4FE2"/>
    <w:rsid w:val="6D4A2539"/>
    <w:rsid w:val="6D572C9F"/>
    <w:rsid w:val="6D97094D"/>
    <w:rsid w:val="6DAE632B"/>
    <w:rsid w:val="6DBE7D5B"/>
    <w:rsid w:val="6DF009F6"/>
    <w:rsid w:val="6DF9140B"/>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DE7C52"/>
    <w:rsid w:val="70E10DC3"/>
    <w:rsid w:val="70F054AD"/>
    <w:rsid w:val="71095983"/>
    <w:rsid w:val="712D59A6"/>
    <w:rsid w:val="71402F8B"/>
    <w:rsid w:val="71475ADB"/>
    <w:rsid w:val="717140CF"/>
    <w:rsid w:val="718F10F7"/>
    <w:rsid w:val="71D55C91"/>
    <w:rsid w:val="71DE13EC"/>
    <w:rsid w:val="720E106F"/>
    <w:rsid w:val="722B37CD"/>
    <w:rsid w:val="72305A9A"/>
    <w:rsid w:val="72427DB1"/>
    <w:rsid w:val="726B260D"/>
    <w:rsid w:val="729E7AB1"/>
    <w:rsid w:val="73287A23"/>
    <w:rsid w:val="7331324E"/>
    <w:rsid w:val="733946CF"/>
    <w:rsid w:val="73455C21"/>
    <w:rsid w:val="7362354D"/>
    <w:rsid w:val="73710635"/>
    <w:rsid w:val="73BF03A5"/>
    <w:rsid w:val="73D41A16"/>
    <w:rsid w:val="73D425F7"/>
    <w:rsid w:val="73D6575A"/>
    <w:rsid w:val="73E636C1"/>
    <w:rsid w:val="74600E53"/>
    <w:rsid w:val="746A0CB1"/>
    <w:rsid w:val="74712AFB"/>
    <w:rsid w:val="74994192"/>
    <w:rsid w:val="74A31B48"/>
    <w:rsid w:val="74AD4F44"/>
    <w:rsid w:val="74B76643"/>
    <w:rsid w:val="74BC1C78"/>
    <w:rsid w:val="750A2023"/>
    <w:rsid w:val="75171C24"/>
    <w:rsid w:val="75486E94"/>
    <w:rsid w:val="758D04C2"/>
    <w:rsid w:val="75AD0CCB"/>
    <w:rsid w:val="75C00603"/>
    <w:rsid w:val="75D90D83"/>
    <w:rsid w:val="75E4396D"/>
    <w:rsid w:val="75F020A1"/>
    <w:rsid w:val="760C2743"/>
    <w:rsid w:val="7615032B"/>
    <w:rsid w:val="76655349"/>
    <w:rsid w:val="76667A03"/>
    <w:rsid w:val="7676736A"/>
    <w:rsid w:val="768F29EE"/>
    <w:rsid w:val="76926203"/>
    <w:rsid w:val="76933951"/>
    <w:rsid w:val="76A901E4"/>
    <w:rsid w:val="76F54F87"/>
    <w:rsid w:val="771D661B"/>
    <w:rsid w:val="771F7714"/>
    <w:rsid w:val="77207795"/>
    <w:rsid w:val="77346A29"/>
    <w:rsid w:val="773903BD"/>
    <w:rsid w:val="773F662A"/>
    <w:rsid w:val="77617342"/>
    <w:rsid w:val="77890DAA"/>
    <w:rsid w:val="779319D7"/>
    <w:rsid w:val="77D835AD"/>
    <w:rsid w:val="77EE2F48"/>
    <w:rsid w:val="77F10205"/>
    <w:rsid w:val="784E332E"/>
    <w:rsid w:val="78782A0D"/>
    <w:rsid w:val="78AE29A0"/>
    <w:rsid w:val="78C57EA9"/>
    <w:rsid w:val="78CA6BEF"/>
    <w:rsid w:val="791A571A"/>
    <w:rsid w:val="79286132"/>
    <w:rsid w:val="796411DB"/>
    <w:rsid w:val="797E392B"/>
    <w:rsid w:val="798955B6"/>
    <w:rsid w:val="79A2171F"/>
    <w:rsid w:val="79A252FF"/>
    <w:rsid w:val="79D33056"/>
    <w:rsid w:val="79E119BE"/>
    <w:rsid w:val="79E65B55"/>
    <w:rsid w:val="79E76BC3"/>
    <w:rsid w:val="79F46E3A"/>
    <w:rsid w:val="7A0131C9"/>
    <w:rsid w:val="7A0E722C"/>
    <w:rsid w:val="7A124C14"/>
    <w:rsid w:val="7A331016"/>
    <w:rsid w:val="7A475E69"/>
    <w:rsid w:val="7A6A3147"/>
    <w:rsid w:val="7A810C37"/>
    <w:rsid w:val="7ABB10EE"/>
    <w:rsid w:val="7AD41AF5"/>
    <w:rsid w:val="7B105707"/>
    <w:rsid w:val="7B302E56"/>
    <w:rsid w:val="7B350C9D"/>
    <w:rsid w:val="7B424859"/>
    <w:rsid w:val="7B7D36B3"/>
    <w:rsid w:val="7B9741C7"/>
    <w:rsid w:val="7BD27B88"/>
    <w:rsid w:val="7C0A1E29"/>
    <w:rsid w:val="7C1E1AF3"/>
    <w:rsid w:val="7C26369C"/>
    <w:rsid w:val="7C311CA7"/>
    <w:rsid w:val="7C3933DF"/>
    <w:rsid w:val="7C4A37AF"/>
    <w:rsid w:val="7C590E02"/>
    <w:rsid w:val="7C9E5A24"/>
    <w:rsid w:val="7CAC00CB"/>
    <w:rsid w:val="7CBE2557"/>
    <w:rsid w:val="7CE73C35"/>
    <w:rsid w:val="7CFE3D7C"/>
    <w:rsid w:val="7D022178"/>
    <w:rsid w:val="7D575412"/>
    <w:rsid w:val="7D62117D"/>
    <w:rsid w:val="7D7E5CB0"/>
    <w:rsid w:val="7D83197B"/>
    <w:rsid w:val="7D9D4B2B"/>
    <w:rsid w:val="7DB3208B"/>
    <w:rsid w:val="7DB5193A"/>
    <w:rsid w:val="7DB54254"/>
    <w:rsid w:val="7E181D7D"/>
    <w:rsid w:val="7E2118A1"/>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96461A"/>
    <w:rsid w:val="7FA01201"/>
    <w:rsid w:val="7FB901DB"/>
    <w:rsid w:val="7FBB72CB"/>
    <w:rsid w:val="7FE11C49"/>
    <w:rsid w:val="7FE26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3BF8AE-43AD-445C-BAA7-EADF00A3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20">
    <w:name w:val="List 2"/>
    <w:basedOn w:val="a"/>
    <w:uiPriority w:val="99"/>
    <w:semiHidden/>
    <w:unhideWhenUsed/>
    <w:qFormat/>
    <w:pPr>
      <w:ind w:leftChars="200" w:left="100" w:hangingChars="200" w:hanging="200"/>
      <w:contextualSpacing/>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link w:val="Char3"/>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character" w:customStyle="1" w:styleId="Char3">
    <w:name w:val="列出段落 Char"/>
    <w:link w:val="af1"/>
    <w:uiPriority w:val="34"/>
    <w:qFormat/>
    <w:locked/>
    <w:rPr>
      <w:rFonts w:eastAsia="Times New Roman"/>
      <w:kern w:val="2"/>
      <w:sz w:val="24"/>
      <w:szCs w:val="24"/>
    </w:rPr>
  </w:style>
  <w:style w:type="paragraph" w:customStyle="1" w:styleId="B2">
    <w:name w:val="B2"/>
    <w:basedOn w:val="20"/>
    <w:qFormat/>
    <w:pPr>
      <w:overflowPunct w:val="0"/>
      <w:autoSpaceDE w:val="0"/>
      <w:autoSpaceDN w:val="0"/>
      <w:adjustRightInd w:val="0"/>
      <w:spacing w:beforeLines="0" w:before="100" w:beforeAutospacing="1" w:afterLines="0" w:after="180" w:line="240" w:lineRule="auto"/>
      <w:ind w:leftChars="0" w:left="851" w:firstLineChars="0" w:hanging="284"/>
      <w:contextualSpacing w:val="0"/>
      <w:jc w:val="left"/>
      <w:textAlignment w:val="baseline"/>
    </w:pPr>
    <w:rPr>
      <w:kern w:val="0"/>
      <w:sz w:val="24"/>
      <w:szCs w:val="24"/>
    </w:rPr>
  </w:style>
  <w:style w:type="paragraph" w:customStyle="1" w:styleId="Agreement">
    <w:name w:val="Agreement"/>
    <w:basedOn w:val="a"/>
    <w:next w:val="Doc-text2"/>
    <w:uiPriority w:val="99"/>
    <w:qFormat/>
    <w:pPr>
      <w:numPr>
        <w:numId w:val="8"/>
      </w:numPr>
      <w:spacing w:before="60"/>
    </w:pPr>
    <w:rPr>
      <w:b/>
    </w:rPr>
  </w:style>
  <w:style w:type="paragraph" w:customStyle="1" w:styleId="Doc-text2">
    <w:name w:val="Doc-text2"/>
    <w:basedOn w:val="a"/>
    <w:qFormat/>
    <w:pPr>
      <w:tabs>
        <w:tab w:val="left" w:pos="1622"/>
      </w:tabs>
      <w:spacing w:before="0"/>
      <w:ind w:left="1622" w:hanging="363"/>
    </w:pPr>
  </w:style>
  <w:style w:type="paragraph" w:customStyle="1" w:styleId="ListParagraph1">
    <w:name w:val="List Paragraph1"/>
    <w:basedOn w:val="a"/>
    <w:pPr>
      <w:autoSpaceDE w:val="0"/>
      <w:spacing w:beforeLines="0" w:before="100" w:beforeAutospacing="1" w:afterLines="0" w:after="120" w:line="240" w:lineRule="auto"/>
      <w:ind w:left="720"/>
      <w:contextualSpacing/>
      <w:jc w:val="left"/>
    </w:pPr>
    <w:rPr>
      <w:rFonts w:eastAsia="MS Mincho"/>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404172">
      <w:bodyDiv w:val="1"/>
      <w:marLeft w:val="0"/>
      <w:marRight w:val="0"/>
      <w:marTop w:val="0"/>
      <w:marBottom w:val="0"/>
      <w:divBdr>
        <w:top w:val="none" w:sz="0" w:space="0" w:color="auto"/>
        <w:left w:val="none" w:sz="0" w:space="0" w:color="auto"/>
        <w:bottom w:val="none" w:sz="0" w:space="0" w:color="auto"/>
        <w:right w:val="none" w:sz="0" w:space="0" w:color="auto"/>
      </w:divBdr>
    </w:div>
    <w:div w:id="1376537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14D40A-3DE0-40FB-A7EC-5A19530B3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1028</Words>
  <Characters>5863</Characters>
  <Application>Microsoft Office Word</Application>
  <DocSecurity>0</DocSecurity>
  <Lines>48</Lines>
  <Paragraphs>13</Paragraphs>
  <ScaleCrop>false</ScaleCrop>
  <Company/>
  <LinksUpToDate>false</LinksUpToDate>
  <CharactersWithSpaces>6878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陈梦竹00206166</cp:lastModifiedBy>
  <cp:revision>41</cp:revision>
  <dcterms:created xsi:type="dcterms:W3CDTF">2021-11-03T07:40:00Z</dcterms:created>
  <dcterms:modified xsi:type="dcterms:W3CDTF">2022-02-14T11:09:00Z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